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404E5">
      <w:pPr>
        <w:rPr>
          <w:rFonts w:hint="eastAsia" w:eastAsia="仿宋_GB2312"/>
          <w:sz w:val="32"/>
          <w:lang w:eastAsia="zh-CN"/>
        </w:rPr>
      </w:pPr>
    </w:p>
    <w:p w14:paraId="7D1CF47B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50FAD7EE">
      <w:pPr>
        <w:bidi w:val="0"/>
        <w:rPr>
          <w:rFonts w:hint="eastAsia"/>
          <w:lang w:val="en-US" w:eastAsia="zh-CN"/>
        </w:rPr>
      </w:pPr>
    </w:p>
    <w:p w14:paraId="31B16F0C">
      <w:pPr>
        <w:bidi w:val="0"/>
        <w:rPr>
          <w:rFonts w:hint="eastAsia"/>
          <w:lang w:val="en-US" w:eastAsia="zh-CN"/>
        </w:rPr>
      </w:pPr>
    </w:p>
    <w:p w14:paraId="1FFC187C">
      <w:pPr>
        <w:bidi w:val="0"/>
        <w:rPr>
          <w:rFonts w:hint="eastAsia"/>
          <w:lang w:val="en-US" w:eastAsia="zh-CN"/>
        </w:rPr>
      </w:pPr>
    </w:p>
    <w:p w14:paraId="59A4067D">
      <w:pPr>
        <w:bidi w:val="0"/>
        <w:rPr>
          <w:rFonts w:hint="eastAsia"/>
          <w:lang w:val="en-US" w:eastAsia="zh-CN"/>
        </w:rPr>
      </w:pPr>
    </w:p>
    <w:p w14:paraId="069DF23D">
      <w:pPr>
        <w:bidi w:val="0"/>
        <w:rPr>
          <w:rFonts w:hint="eastAsia"/>
          <w:lang w:val="en-US" w:eastAsia="zh-CN"/>
        </w:rPr>
      </w:pPr>
    </w:p>
    <w:p w14:paraId="44399460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402A13D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 w14:paraId="3F48B568"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77EA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关于吉林市龙潭区南沙河综合治理工程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 w14:paraId="3F82A4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吉林市龙潭区农业农村局：</w:t>
      </w:r>
    </w:p>
    <w:p w14:paraId="5027B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你单位《关于对〈吉林市龙潭区南沙河综合治理工程环境影响报告表〉审查的申请》和委托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吉林津港环境科技有限公司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编制的《吉林市龙潭区南沙河综合治理工程环境影响报告表》（报批版）收悉。经研究，现批复如下：　</w:t>
      </w:r>
    </w:p>
    <w:p w14:paraId="55B4FA2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仿宋_GB2312"/>
          <w:color w:val="000000"/>
          <w:kern w:val="0"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位于吉林市龙潭区江密峰镇南沙河，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工程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起点：东经126°47′0.303″，北纬43°50′27.068″；终点：东经126°46′7.161″，北纬43°56′48.920″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该项目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主要对该河段进行护岸、护坡、护底建</w:t>
      </w:r>
      <w:bookmarkStart w:id="0" w:name="_GoBack"/>
      <w:bookmarkEnd w:id="0"/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设以及清淤疏浚等综合治理工作，综合治理河道中心线长度15.118km。</w:t>
      </w:r>
    </w:p>
    <w:p w14:paraId="21F12D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主体工程：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新建护岸51段，护岸总长7.269km（其中左岸30段、总长4.3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49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km。右岸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21段、总长2.92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km），采用格宾石笼+雷诺护垫水平防护；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新建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生态植物护坡1.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045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km，采用生态袋（0.9m×0.35m×0.19m）护砌，生态袋内装种植土，错台位置撒草籽，袋底采用格宾石笼（1.0m×2.0m×0.5m）作为基础；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新建护底，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采用雷诺护垫（3.0m×2.0m×0.3m）护底，下设复合土工布（500g/m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zh-CN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）；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zh-CN" w:eastAsia="zh-CN" w:bidi="ar-SA"/>
        </w:rPr>
        <w:t>河道清淤疏浚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河段长度为9.381km，清淤深度0.5m，疏浚后河底宽度为2～5m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。临时工程：设置11条临时道路，总长11.2km、宽度4m；不设置施工营地，由施工单位租用附近的村镇民房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作为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临时生活区；沿工程设置5个100m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彩钢结构仓库，用于临时储存设备和工具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，在临时仓库1、5附近的工程河段处分别设置1个15m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3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沉淀池，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共30m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3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，采用防渗布进行防渗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；每条道路中段一侧设置1处临时道路表土堆场，共11处，总占地面积为2240m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；每个临时仓库区附近设置一处仓库临时表土堆场，共5处，总占地面积为50m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；在5号、15号和23号清淤河段河岸处分别设置晾晒场，总占地面积为600m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；设置围堰进行施工导流，纵向围堰始、末端与岸坎连接封闭挡水。设计围堰顶宽1.5m，迎水侧和背水侧边坡均为1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:1.5，围堰高度1m，围堰迎水侧铺设0.5m厚的编织袋土，袋下铺设一层土工膜进行防渗，填筑土料采用河道的开挖料，待施工完成后再进行拆除；该项目不另外设置取、弃土场，准保护区范围内不设置临时占地。该项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临时施工人员每天约50人，施工时段为每天8h，夜间不施工，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不设食宿，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总施工天数为90天。本工程总占地面积91010m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，其中工程永久占地42800m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，临时占地48210m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vertAlign w:val="superscript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项目总投资2270.89万元，其中环保投资8.39万元。根据环境影响报告表评价结论和技术评估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75804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二、项目建设应重点做好以下工作：</w:t>
      </w:r>
    </w:p>
    <w:p w14:paraId="00441CEB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生态保护与修复措施：优化施工布置，施工结束后拆除临建物，进行表土回填、植被恢复</w:t>
      </w:r>
      <w:r>
        <w:rPr>
          <w:rFonts w:hint="eastAsia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，土地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恢复原有用途；建立生态破坏惩罚制度，严禁施工人员非法捕猎陆生野生动物及钓、网等捕鱼行为；采取从上游至下游逐一施工的方式</w:t>
      </w:r>
      <w:r>
        <w:rPr>
          <w:rFonts w:hint="eastAsia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严禁超挖；回填工作做到随挖、随运、随填、随压</w:t>
      </w:r>
      <w:r>
        <w:rPr>
          <w:rFonts w:hint="eastAsia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临时堆料场进行苫盖防护；表土堆土覆盖彩条布以防雨淋和冲刷，并采用装土编织袋挡墙拦挡；按照水土保持方案落实相应的生物及工程措施防治水土流失。</w:t>
      </w:r>
    </w:p>
    <w:p w14:paraId="5FDDDAF2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2.大气污染防治措施：土方开挖、运输和填筑等施工过程采取洒水降尘，作业处覆盖防尘网；分别在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邻近沙河子、南沙村、下河西、北沙二队一侧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采取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围挡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、遮盖等防尘措施；施工场地内部裸地防尘采用洒水或加盖防尘网；工地车行道路采取细石等材料铺设，车辆运输过程中采取防尘、防遗撒、车轮清洗措施，合理规划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运输路线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 w14:paraId="4D7380BB">
      <w:pPr>
        <w:keepLines w:val="0"/>
        <w:pageBreakBefore w:val="0"/>
        <w:kinsoku/>
        <w:wordWrap/>
        <w:overflowPunct/>
        <w:topLinePunct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3.地表水、地下水、土壤污染防治措施：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严禁施工废水、生活污水进入工程河段内；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职工生活污水排入可移动防渗旱厕，定期清掏还田；施工机械、车辆冲洗废水经临时防渗沉淀池沉淀后用于洒水降尘；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施工机械采取严格的防油污措施；采用不扰动过流水域的围堰施工方式</w:t>
      </w:r>
      <w:r>
        <w:rPr>
          <w:rFonts w:hint="eastAsia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清淤疏浚前采取水质、水生生态维护</w:t>
      </w:r>
      <w:r>
        <w:rPr>
          <w:rFonts w:hint="eastAsia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措施</w:t>
      </w:r>
      <w:r>
        <w:rPr>
          <w:rFonts w:hint="eastAsia" w:ascii="仿宋_GB2312" w:hAnsi="仿宋_GB2312" w:eastAsia="仿宋_GB2312" w:cs="仿宋_GB2312"/>
          <w:bCs/>
          <w:smallCaps w:val="0"/>
          <w:color w:val="auto"/>
          <w:kern w:val="0"/>
          <w:sz w:val="32"/>
          <w:szCs w:val="32"/>
          <w:lang w:val="en-US" w:eastAsia="zh-CN" w:bidi="ar-SA"/>
        </w:rPr>
        <w:t>。</w:t>
      </w:r>
    </w:p>
    <w:p w14:paraId="696FC3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4.噪声污染防治措施：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选用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低噪声施工机械，合理布局，加强设备维护，采取有效的隔音、减振、消声措施；在靠近沙河子、南沙三队、南沙村、下河西、北沙二队施工的期间</w:t>
      </w:r>
      <w:r>
        <w:rPr>
          <w:rFonts w:hint="eastAsia" w:cs="仿宋_GB2312"/>
          <w:color w:val="auto"/>
          <w:sz w:val="32"/>
          <w:szCs w:val="32"/>
          <w:highlight w:val="none"/>
          <w:lang w:val="en-US" w:eastAsia="zh-CN"/>
        </w:rPr>
        <w:t>，在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邻近敏感点一侧设置声屏障，夜间禁止施工；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穿过或靠近集中居民点的施工路段，采取交通管制措施并设立标志牌。</w:t>
      </w:r>
    </w:p>
    <w:p w14:paraId="5F2C7B44"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5.固体废物污染防治措施：护岸工程余方用于5km范围内的邻近冲毁农田基底回填；河道疏浚泥沙主要为冲毁农田土壤和河道沙石，用于2km范围内的邻近冲毁农田基底回填；施工人员的生活垃圾集中收集，送指定垃圾点，由环卫部门处置；沉淀池泥沙回填至临近河道岸坡冲毁地段。</w:t>
      </w:r>
    </w:p>
    <w:p w14:paraId="2E1BC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6.企业应按照相关要求落实监测计划。</w:t>
      </w:r>
    </w:p>
    <w:p w14:paraId="3CDF7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三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29A93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四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4034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五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6FFBF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六、由吉林市生态环境保护综合行政执法支队龙潭大队负责按照《建设项目环境保护事中事后监督管理办法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试行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》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环发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〔2015〕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163号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的规定，进行本建设项目事中事后的环境监督管理工作。</w:t>
      </w:r>
    </w:p>
    <w:p w14:paraId="55BB1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DC9E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9392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E99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 w14:paraId="7CE16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12月12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p w14:paraId="72D2943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 w14:paraId="38957064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tbl>
      <w:tblPr>
        <w:tblStyle w:val="15"/>
        <w:tblpPr w:vertAnchor="page" w:horzAnchor="page" w:tblpX="1627" w:tblpY="13927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6A7927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65B2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1160" w:leftChars="100" w:hanging="840" w:hangingChars="3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</w:p>
        </w:tc>
      </w:tr>
      <w:tr w14:paraId="06A63D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0381C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0" w:lef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5D3683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right="320" w:rightChars="1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2FA14E5A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341E7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2A87F">
                          <w:pPr>
                            <w:pStyle w:val="1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12A87F">
                    <w:pPr>
                      <w:pStyle w:val="1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5F485"/>
    <w:multiLevelType w:val="singleLevel"/>
    <w:tmpl w:val="FFB5F4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DD80E04"/>
    <w:multiLevelType w:val="singleLevel"/>
    <w:tmpl w:val="6DD80E04"/>
    <w:lvl w:ilvl="0" w:tentative="0">
      <w:start w:val="1"/>
      <w:numFmt w:val="bullet"/>
      <w:pStyle w:val="8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2">
    <w:nsid w:val="73E381FC"/>
    <w:multiLevelType w:val="multilevel"/>
    <w:tmpl w:val="73E381FC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0312262"/>
    <w:rsid w:val="00C4676C"/>
    <w:rsid w:val="01215C29"/>
    <w:rsid w:val="0171089E"/>
    <w:rsid w:val="022A3204"/>
    <w:rsid w:val="0355494F"/>
    <w:rsid w:val="065340AE"/>
    <w:rsid w:val="07120557"/>
    <w:rsid w:val="086F4082"/>
    <w:rsid w:val="08C876F7"/>
    <w:rsid w:val="08EA2658"/>
    <w:rsid w:val="0C7236B3"/>
    <w:rsid w:val="0D4D7D0D"/>
    <w:rsid w:val="0D832131"/>
    <w:rsid w:val="0D9E1BA7"/>
    <w:rsid w:val="0EC82610"/>
    <w:rsid w:val="0F914A2F"/>
    <w:rsid w:val="10872B54"/>
    <w:rsid w:val="116E69B0"/>
    <w:rsid w:val="12082D06"/>
    <w:rsid w:val="15D37529"/>
    <w:rsid w:val="160B1746"/>
    <w:rsid w:val="19E90FAC"/>
    <w:rsid w:val="1B3060F2"/>
    <w:rsid w:val="1B965141"/>
    <w:rsid w:val="1F196F14"/>
    <w:rsid w:val="22F4413B"/>
    <w:rsid w:val="25334FFC"/>
    <w:rsid w:val="25E3017D"/>
    <w:rsid w:val="2777171F"/>
    <w:rsid w:val="29F17A79"/>
    <w:rsid w:val="2BB44E45"/>
    <w:rsid w:val="2BEF7F49"/>
    <w:rsid w:val="2EE94141"/>
    <w:rsid w:val="320C112F"/>
    <w:rsid w:val="338A5133"/>
    <w:rsid w:val="34BD356D"/>
    <w:rsid w:val="34C21A81"/>
    <w:rsid w:val="370D111D"/>
    <w:rsid w:val="37760F37"/>
    <w:rsid w:val="380541CD"/>
    <w:rsid w:val="3971572F"/>
    <w:rsid w:val="3AC912B2"/>
    <w:rsid w:val="3B164258"/>
    <w:rsid w:val="3C667DC0"/>
    <w:rsid w:val="3C9E0055"/>
    <w:rsid w:val="3EC15C04"/>
    <w:rsid w:val="3F813922"/>
    <w:rsid w:val="436A288B"/>
    <w:rsid w:val="47A11AC2"/>
    <w:rsid w:val="47B02837"/>
    <w:rsid w:val="49881965"/>
    <w:rsid w:val="4A797DE0"/>
    <w:rsid w:val="4BB42CC3"/>
    <w:rsid w:val="4F9C7D11"/>
    <w:rsid w:val="4FC43F49"/>
    <w:rsid w:val="514D4569"/>
    <w:rsid w:val="52FA1521"/>
    <w:rsid w:val="53201A8B"/>
    <w:rsid w:val="535011CF"/>
    <w:rsid w:val="55BD645A"/>
    <w:rsid w:val="56EE7B37"/>
    <w:rsid w:val="57272086"/>
    <w:rsid w:val="57582925"/>
    <w:rsid w:val="58BD2D25"/>
    <w:rsid w:val="5E1A0B49"/>
    <w:rsid w:val="5E7F4FE5"/>
    <w:rsid w:val="644F33ED"/>
    <w:rsid w:val="66095259"/>
    <w:rsid w:val="66783A5F"/>
    <w:rsid w:val="685B4774"/>
    <w:rsid w:val="6A524E2D"/>
    <w:rsid w:val="6AA904D9"/>
    <w:rsid w:val="6DE3699C"/>
    <w:rsid w:val="6EFB604C"/>
    <w:rsid w:val="70886160"/>
    <w:rsid w:val="710B4386"/>
    <w:rsid w:val="71E3174B"/>
    <w:rsid w:val="73F12BC9"/>
    <w:rsid w:val="77E77D4F"/>
    <w:rsid w:val="7C1B42AF"/>
    <w:rsid w:val="7C213AB6"/>
    <w:rsid w:val="7C9F0813"/>
    <w:rsid w:val="7D1363DA"/>
    <w:rsid w:val="7EF5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line="520" w:lineRule="exact"/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8"/>
    <w:qFormat/>
    <w:uiPriority w:val="0"/>
    <w:rPr>
      <w:sz w:val="28"/>
    </w:rPr>
  </w:style>
  <w:style w:type="paragraph" w:styleId="8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9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table" w:styleId="15">
    <w:name w:val="Table Grid"/>
    <w:basedOn w:val="14"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character" w:customStyle="1" w:styleId="17">
    <w:name w:val="标题 2 Char"/>
    <w:link w:val="3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18">
    <w:name w:val="标题 1 Char"/>
    <w:link w:val="2"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19">
    <w:name w:val="Default"/>
    <w:basedOn w:val="1"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20">
    <w:name w:val="曹1.1"/>
    <w:basedOn w:val="1"/>
    <w:qFormat/>
    <w:uiPriority w:val="0"/>
    <w:pPr>
      <w:spacing w:line="360" w:lineRule="auto"/>
    </w:pPr>
    <w:rPr>
      <w:b/>
      <w:sz w:val="24"/>
    </w:rPr>
  </w:style>
  <w:style w:type="paragraph" w:customStyle="1" w:styleId="21">
    <w:name w:val="样式 正文11 + 首行缩进:  2 字符"/>
    <w:basedOn w:val="1"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paragraph" w:customStyle="1" w:styleId="22">
    <w:name w:val="p0"/>
    <w:basedOn w:val="1"/>
    <w:qFormat/>
    <w:uiPriority w:val="0"/>
    <w:pPr>
      <w:widowControl/>
    </w:pPr>
    <w:rPr>
      <w:rFonts w:cs="Times New Roman"/>
      <w:kern w:val="0"/>
      <w:szCs w:val="21"/>
    </w:rPr>
  </w:style>
  <w:style w:type="paragraph" w:customStyle="1" w:styleId="23">
    <w:name w:val="0正文缩进"/>
    <w:basedOn w:val="5"/>
    <w:qFormat/>
    <w:uiPriority w:val="0"/>
    <w:pPr>
      <w:kinsoku w:val="0"/>
      <w:autoSpaceDE w:val="0"/>
      <w:autoSpaceDN w:val="0"/>
      <w:spacing w:line="360" w:lineRule="auto"/>
      <w:ind w:firstLine="200"/>
      <w:textAlignment w:val="baseline"/>
    </w:pPr>
    <w:rPr>
      <w:rFonts w:ascii="Times New Roman" w:hAnsi="Times New Roman"/>
      <w:color w:val="00000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d67a5e17-b5aa-4d54-9e44-012908b0d6dd</errorID>
      <errorWord>作</errorWord>
      <group>L1_Word</group>
      <groupName>字词问题</groupName>
      <ability>L2_Typo</ability>
      <abilityName>字词错误</abilityName>
      <candidateList>
        <item>作为</item>
      </candidateList>
      <explain>❶〈动〉当做：～罢论｜～无效｜我把游泳～锻炼身体的方法。❷〈介〉就人的某种身份或事物的某种性质来说：～一个学生，首先得把学习搞好｜～一部词典，必须有明确的编写宗旨。</explain>
      <paraID>21F12D6F</paraID>
      <start>303</start>
      <end>305</end>
      <status>modified</status>
      <modifiedWord>作为</modifiedWord>
      <trackRevisions>false</trackRevisions>
    </reviewItem>
    <reviewItem>
      <errorID>eddafc9d-1f0b-45bc-b25a-171b479ec297</errorID>
      <errorWord>防油</errorWord>
      <group>L1_Word</group>
      <groupName>字词问题</groupName>
      <ability>L2_Typo</ability>
      <abilityName>字词错误</abilityName>
      <candidateList>
        <item>防</item>
      </candidateList>
      <explain/>
      <paraID>4D7380BB</paraID>
      <start>99</start>
      <end>101</end>
      <status>ignored</status>
      <modifiedWord/>
      <trackRevisions>false</trackRevisions>
    </reviewItem>
    <reviewItem>
      <errorID>ef1cbe86-01c4-48a3-8970-8f7d45df1ddc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696FC355</paraID>
      <start>78</start>
      <end>80</end>
      <status>modified</status>
      <modifiedWord>，在</modifiedWord>
      <trackRevisions>false</trackRevisions>
    </reviewItem>
    <reviewItem>
      <errorID>2365d3f5-082e-4312-b119-76801d46827e</errorID>
      <errorWord>沙石</errorWord>
      <group>L1_Word</group>
      <groupName>字词问题</groupName>
      <ability>L2_Typo</ability>
      <abilityName>字词错误</abilityName>
      <candidateList>
        <item>砂石</item>
      </candidateList>
      <explain>存在发音相同字词的误用。</explain>
      <paraID>5F2C7B44</paraID>
      <start>57</start>
      <end>59</end>
      <status>unmodified</status>
      <modifiedWord/>
      <trackRevisions>false</trackRevisions>
    </reviewItem>
    <reviewItem>
      <errorID>287b954e-96a8-4dc8-97dd-9c1451a1246c</errorID>
      <errorWord>［2015］</errorWord>
      <group>L1_Punc</group>
      <groupName>标点问题</groupName>
      <ability>L2_Punc</ability>
      <abilityName>标点符号检查</abilityName>
      <candidateList>
        <item>〔2015〕</item>
      </candidateList>
      <explain/>
      <paraID>6FFBF521</paraID>
      <start>55</start>
      <end>61</end>
      <status>modified</status>
      <modifiedWord>〔2015〕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d3cfde-932e-4415-be98-06768e3226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2346</Words>
  <Characters>2554</Characters>
  <Lines>0</Lines>
  <Paragraphs>0</Paragraphs>
  <TotalTime>1114</TotalTime>
  <ScaleCrop>false</ScaleCrop>
  <LinksUpToDate>false</LinksUpToDate>
  <CharactersWithSpaces>2570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2025-12-11T07:33:17Z</cp:lastPrinted>
  <dcterms:modified xsi:type="dcterms:W3CDTF">2025-12-12T00:43:09Z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4486F42128FF468989906764FB11ADE7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