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6C828">
      <w:pPr>
        <w:autoSpaceDE w:val="0"/>
        <w:autoSpaceDN w:val="0"/>
        <w:adjustRightInd w:val="0"/>
        <w:spacing w:line="600" w:lineRule="exact"/>
        <w:jc w:val="center"/>
        <w:rPr>
          <w:rFonts w:ascii="方正小标宋简体" w:hAnsi="Times New Roman" w:eastAsia="方正小标宋简体" w:cs="方正小标宋简体"/>
          <w:color w:val="000000"/>
          <w:sz w:val="44"/>
          <w:szCs w:val="44"/>
        </w:rPr>
      </w:pPr>
      <w:r>
        <w:rPr>
          <w:rFonts w:hint="eastAsia" w:ascii="方正小标宋简体" w:hAnsi="Times New Roman" w:eastAsia="方正小标宋简体" w:cs="方正小标宋简体"/>
          <w:color w:val="000000"/>
          <w:sz w:val="44"/>
          <w:szCs w:val="44"/>
        </w:rPr>
        <w:t>吉林省建设项目环境影响评价文件</w:t>
      </w:r>
    </w:p>
    <w:p w14:paraId="611EF5B7">
      <w:pPr>
        <w:autoSpaceDE w:val="0"/>
        <w:autoSpaceDN w:val="0"/>
        <w:adjustRightInd w:val="0"/>
        <w:spacing w:line="600" w:lineRule="exact"/>
        <w:jc w:val="center"/>
        <w:rPr>
          <w:rFonts w:ascii="仿宋_GB2312" w:hAnsi="宋体" w:eastAsia="仿宋_GB2312"/>
          <w:color w:val="000000"/>
          <w:sz w:val="32"/>
          <w:szCs w:val="32"/>
        </w:rPr>
      </w:pPr>
      <w:r>
        <w:rPr>
          <w:rFonts w:hint="eastAsia" w:ascii="方正小标宋简体" w:hAnsi="Times New Roman" w:eastAsia="方正小标宋简体" w:cs="方正小标宋简体"/>
          <w:color w:val="000000"/>
          <w:sz w:val="44"/>
          <w:szCs w:val="44"/>
        </w:rPr>
        <w:t>告知承诺制审批表</w:t>
      </w:r>
    </w:p>
    <w:p w14:paraId="3283EE3E">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8"/>
          <w:szCs w:val="28"/>
          <w:lang w:val="zh-TW" w:eastAsia="zh-CN"/>
        </w:rPr>
      </w:pPr>
    </w:p>
    <w:p w14:paraId="0776E21D">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仿宋" w:hAnsi="仿宋" w:eastAsia="仿宋"/>
          <w:sz w:val="32"/>
          <w:szCs w:val="32"/>
          <w:lang w:val="en-US"/>
        </w:rPr>
      </w:pPr>
      <w:r>
        <w:rPr>
          <w:rFonts w:hint="eastAsia" w:ascii="仿宋" w:hAnsi="仿宋" w:eastAsia="仿宋" w:cs="仿宋"/>
          <w:sz w:val="28"/>
          <w:szCs w:val="28"/>
          <w:lang w:val="zh-TW" w:eastAsia="zh-CN"/>
        </w:rPr>
        <w:t>审批号：吉市（龙）环建（表）承字〔</w:t>
      </w:r>
      <w:r>
        <w:rPr>
          <w:rFonts w:hint="eastAsia" w:ascii="仿宋" w:hAnsi="仿宋" w:eastAsia="仿宋" w:cs="仿宋"/>
          <w:sz w:val="28"/>
          <w:szCs w:val="28"/>
          <w:lang w:val="en-US" w:eastAsia="zh-CN"/>
        </w:rPr>
        <w:t>2026</w:t>
      </w:r>
      <w:r>
        <w:rPr>
          <w:rFonts w:hint="eastAsia" w:ascii="仿宋" w:hAnsi="仿宋" w:eastAsia="仿宋" w:cs="仿宋"/>
          <w:sz w:val="28"/>
          <w:szCs w:val="28"/>
          <w:lang w:val="zh-TW" w:eastAsia="zh-CN"/>
        </w:rPr>
        <w:t>〕</w:t>
      </w:r>
      <w:r>
        <w:rPr>
          <w:rFonts w:hint="eastAsia" w:ascii="仿宋" w:hAnsi="仿宋" w:eastAsia="仿宋" w:cs="仿宋"/>
          <w:sz w:val="28"/>
          <w:szCs w:val="28"/>
          <w:lang w:val="en-US" w:eastAsia="zh-CN"/>
        </w:rPr>
        <w:t>1号</w:t>
      </w:r>
    </w:p>
    <w:tbl>
      <w:tblPr>
        <w:tblStyle w:val="10"/>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2148"/>
        <w:gridCol w:w="2553"/>
        <w:gridCol w:w="1744"/>
      </w:tblGrid>
      <w:tr w14:paraId="42DA0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8" w:space="0"/>
              <w:left w:val="single" w:color="auto" w:sz="8" w:space="0"/>
              <w:bottom w:val="single" w:color="auto" w:sz="4" w:space="0"/>
              <w:right w:val="single" w:color="auto" w:sz="4" w:space="0"/>
            </w:tcBorders>
            <w:vAlign w:val="center"/>
          </w:tcPr>
          <w:p w14:paraId="4A55F1E1">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项目名称</w:t>
            </w:r>
          </w:p>
        </w:tc>
        <w:tc>
          <w:tcPr>
            <w:tcW w:w="6445" w:type="dxa"/>
            <w:gridSpan w:val="3"/>
            <w:tcBorders>
              <w:top w:val="single" w:color="auto" w:sz="8" w:space="0"/>
              <w:left w:val="single" w:color="auto" w:sz="4" w:space="0"/>
              <w:bottom w:val="single" w:color="auto" w:sz="4" w:space="0"/>
              <w:right w:val="single" w:color="auto" w:sz="8" w:space="0"/>
            </w:tcBorders>
            <w:vAlign w:val="center"/>
          </w:tcPr>
          <w:p w14:paraId="399ABACF">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lang w:eastAsia="zh-CN"/>
              </w:rPr>
              <w:t>青上化工（吉林）有限公司</w:t>
            </w:r>
            <w:r>
              <w:rPr>
                <w:rFonts w:hint="eastAsia" w:ascii="仿宋_GB2312" w:hAnsi="宋体" w:eastAsia="仿宋_GB2312"/>
                <w:sz w:val="24"/>
                <w:szCs w:val="24"/>
                <w:lang w:val="en-US" w:eastAsia="zh-CN"/>
              </w:rPr>
              <w:t>掺混肥料生产线建设项目</w:t>
            </w:r>
          </w:p>
        </w:tc>
      </w:tr>
      <w:tr w14:paraId="1BFD8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61858D8E">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建设地点</w:t>
            </w:r>
          </w:p>
        </w:tc>
        <w:tc>
          <w:tcPr>
            <w:tcW w:w="2148" w:type="dxa"/>
            <w:tcBorders>
              <w:top w:val="single" w:color="auto" w:sz="4" w:space="0"/>
              <w:left w:val="single" w:color="auto" w:sz="4" w:space="0"/>
              <w:bottom w:val="single" w:color="auto" w:sz="4" w:space="0"/>
              <w:right w:val="single" w:color="auto" w:sz="4" w:space="0"/>
            </w:tcBorders>
            <w:vAlign w:val="center"/>
          </w:tcPr>
          <w:p w14:paraId="71E7A7D1">
            <w:pPr>
              <w:adjustRightInd w:val="0"/>
              <w:snapToGrid w:val="0"/>
              <w:spacing w:line="240" w:lineRule="auto"/>
              <w:jc w:val="center"/>
              <w:rPr>
                <w:rFonts w:hint="eastAsia" w:ascii="仿宋_GB2312" w:hAnsi="宋体" w:eastAsia="仿宋_GB2312"/>
                <w:sz w:val="24"/>
                <w:szCs w:val="24"/>
              </w:rPr>
            </w:pPr>
            <w:r>
              <w:rPr>
                <w:rFonts w:hint="eastAsia" w:ascii="仿宋_GB2312" w:hAnsi="宋体" w:eastAsia="仿宋_GB2312"/>
                <w:sz w:val="24"/>
                <w:szCs w:val="24"/>
              </w:rPr>
              <w:t>吉林省吉林市龙潭区漓江街</w:t>
            </w:r>
            <w:r>
              <w:rPr>
                <w:rFonts w:hint="eastAsia" w:ascii="仿宋_GB2312" w:hAnsi="宋体" w:eastAsia="仿宋_GB2312"/>
                <w:sz w:val="24"/>
                <w:szCs w:val="24"/>
                <w:lang w:val="en-US" w:eastAsia="zh-CN"/>
              </w:rPr>
              <w:t>233号</w:t>
            </w:r>
          </w:p>
        </w:tc>
        <w:tc>
          <w:tcPr>
            <w:tcW w:w="2553" w:type="dxa"/>
            <w:tcBorders>
              <w:top w:val="single" w:color="auto" w:sz="4" w:space="0"/>
              <w:left w:val="single" w:color="auto" w:sz="4" w:space="0"/>
              <w:bottom w:val="single" w:color="auto" w:sz="4" w:space="0"/>
              <w:right w:val="single" w:color="auto" w:sz="4" w:space="0"/>
            </w:tcBorders>
            <w:vAlign w:val="center"/>
          </w:tcPr>
          <w:p w14:paraId="249EEBD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占地（建筑、营业）面积（m</w:t>
            </w:r>
            <w:r>
              <w:rPr>
                <w:rFonts w:hint="eastAsia" w:ascii="仿宋_GB2312" w:hAnsi="宋体" w:eastAsia="仿宋_GB2312"/>
                <w:sz w:val="24"/>
                <w:szCs w:val="24"/>
                <w:vertAlign w:val="superscript"/>
              </w:rPr>
              <w:t>2</w:t>
            </w:r>
            <w:r>
              <w:rPr>
                <w:rFonts w:hint="eastAsia" w:ascii="仿宋_GB2312" w:hAnsi="宋体" w:eastAsia="仿宋_GB2312"/>
                <w:sz w:val="24"/>
                <w:szCs w:val="24"/>
              </w:rPr>
              <w:t>）</w:t>
            </w:r>
          </w:p>
        </w:tc>
        <w:tc>
          <w:tcPr>
            <w:tcW w:w="1744" w:type="dxa"/>
            <w:tcBorders>
              <w:top w:val="single" w:color="auto" w:sz="4" w:space="0"/>
              <w:left w:val="single" w:color="auto" w:sz="4" w:space="0"/>
              <w:bottom w:val="single" w:color="auto" w:sz="4" w:space="0"/>
              <w:right w:val="single" w:color="auto" w:sz="8" w:space="0"/>
            </w:tcBorders>
            <w:vAlign w:val="center"/>
          </w:tcPr>
          <w:p w14:paraId="5761E981">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不新增占地</w:t>
            </w:r>
          </w:p>
        </w:tc>
      </w:tr>
      <w:tr w14:paraId="18FDAF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FE01C67">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建设单位</w:t>
            </w:r>
          </w:p>
        </w:tc>
        <w:tc>
          <w:tcPr>
            <w:tcW w:w="2148" w:type="dxa"/>
            <w:tcBorders>
              <w:top w:val="single" w:color="auto" w:sz="4" w:space="0"/>
              <w:left w:val="single" w:color="auto" w:sz="4" w:space="0"/>
              <w:bottom w:val="single" w:color="auto" w:sz="4" w:space="0"/>
              <w:right w:val="single" w:color="auto" w:sz="4" w:space="0"/>
            </w:tcBorders>
            <w:vAlign w:val="center"/>
          </w:tcPr>
          <w:p w14:paraId="032B3EC8">
            <w:pPr>
              <w:adjustRightInd w:val="0"/>
              <w:snapToGrid w:val="0"/>
              <w:spacing w:line="240" w:lineRule="auto"/>
              <w:jc w:val="center"/>
              <w:rPr>
                <w:rFonts w:hint="eastAsia" w:ascii="仿宋_GB2312" w:hAnsi="宋体" w:eastAsia="仿宋_GB2312"/>
                <w:sz w:val="24"/>
                <w:szCs w:val="24"/>
              </w:rPr>
            </w:pPr>
            <w:r>
              <w:rPr>
                <w:rFonts w:hint="eastAsia" w:ascii="仿宋_GB2312" w:hAnsi="宋体" w:eastAsia="仿宋_GB2312"/>
                <w:sz w:val="24"/>
                <w:szCs w:val="24"/>
                <w:lang w:eastAsia="zh-CN"/>
              </w:rPr>
              <w:t>青上化工（吉林）有限公司</w:t>
            </w:r>
          </w:p>
        </w:tc>
        <w:tc>
          <w:tcPr>
            <w:tcW w:w="2553" w:type="dxa"/>
            <w:tcBorders>
              <w:top w:val="single" w:color="auto" w:sz="4" w:space="0"/>
              <w:left w:val="single" w:color="auto" w:sz="4" w:space="0"/>
              <w:bottom w:val="single" w:color="auto" w:sz="4" w:space="0"/>
              <w:right w:val="single" w:color="auto" w:sz="4" w:space="0"/>
            </w:tcBorders>
            <w:vAlign w:val="center"/>
          </w:tcPr>
          <w:p w14:paraId="26CE406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法定代表人或者</w:t>
            </w:r>
          </w:p>
          <w:p w14:paraId="195B5A60">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主要负责人</w:t>
            </w:r>
          </w:p>
        </w:tc>
        <w:tc>
          <w:tcPr>
            <w:tcW w:w="1744" w:type="dxa"/>
            <w:tcBorders>
              <w:top w:val="single" w:color="auto" w:sz="4" w:space="0"/>
              <w:left w:val="single" w:color="auto" w:sz="4" w:space="0"/>
              <w:bottom w:val="single" w:color="auto" w:sz="4" w:space="0"/>
              <w:right w:val="single" w:color="auto" w:sz="8" w:space="0"/>
            </w:tcBorders>
            <w:vAlign w:val="center"/>
          </w:tcPr>
          <w:p w14:paraId="1A73C3A7">
            <w:pPr>
              <w:adjustRightInd w:val="0"/>
              <w:snapToGrid w:val="0"/>
              <w:spacing w:line="480" w:lineRule="exact"/>
              <w:jc w:val="center"/>
              <w:rPr>
                <w:rFonts w:hint="default" w:ascii="仿宋_GB2312" w:hAnsi="宋体" w:eastAsia="仿宋_GB2312"/>
                <w:sz w:val="24"/>
                <w:szCs w:val="24"/>
                <w:lang w:val="en-US" w:eastAsia="zh-CN"/>
              </w:rPr>
            </w:pPr>
          </w:p>
        </w:tc>
      </w:tr>
      <w:tr w14:paraId="63E9DA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4BA53236">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联系人</w:t>
            </w:r>
          </w:p>
        </w:tc>
        <w:tc>
          <w:tcPr>
            <w:tcW w:w="2148" w:type="dxa"/>
            <w:tcBorders>
              <w:top w:val="single" w:color="auto" w:sz="4" w:space="0"/>
              <w:left w:val="single" w:color="auto" w:sz="4" w:space="0"/>
              <w:bottom w:val="single" w:color="auto" w:sz="4" w:space="0"/>
              <w:right w:val="single" w:color="auto" w:sz="4" w:space="0"/>
            </w:tcBorders>
            <w:vAlign w:val="center"/>
          </w:tcPr>
          <w:p w14:paraId="6F78D33D">
            <w:pPr>
              <w:adjustRightInd w:val="0"/>
              <w:snapToGrid w:val="0"/>
              <w:spacing w:line="480" w:lineRule="exact"/>
              <w:jc w:val="center"/>
              <w:rPr>
                <w:rFonts w:hint="default" w:ascii="仿宋_GB2312" w:hAnsi="宋体" w:eastAsia="仿宋_GB2312"/>
                <w:sz w:val="24"/>
                <w:szCs w:val="24"/>
                <w:lang w:val="en-US" w:eastAsia="zh-CN"/>
              </w:rPr>
            </w:pPr>
          </w:p>
        </w:tc>
        <w:tc>
          <w:tcPr>
            <w:tcW w:w="2553" w:type="dxa"/>
            <w:tcBorders>
              <w:top w:val="single" w:color="auto" w:sz="4" w:space="0"/>
              <w:left w:val="single" w:color="auto" w:sz="4" w:space="0"/>
              <w:bottom w:val="single" w:color="auto" w:sz="4" w:space="0"/>
              <w:right w:val="single" w:color="auto" w:sz="4" w:space="0"/>
            </w:tcBorders>
            <w:vAlign w:val="center"/>
          </w:tcPr>
          <w:p w14:paraId="205C8D5B">
            <w:pPr>
              <w:adjustRightInd w:val="0"/>
              <w:snapToGrid w:val="0"/>
              <w:spacing w:line="480" w:lineRule="exact"/>
              <w:jc w:val="center"/>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联系电话</w:t>
            </w:r>
          </w:p>
        </w:tc>
        <w:tc>
          <w:tcPr>
            <w:tcW w:w="1744" w:type="dxa"/>
            <w:tcBorders>
              <w:top w:val="single" w:color="auto" w:sz="4" w:space="0"/>
              <w:left w:val="single" w:color="auto" w:sz="4" w:space="0"/>
              <w:bottom w:val="single" w:color="auto" w:sz="4" w:space="0"/>
              <w:right w:val="single" w:color="auto" w:sz="8" w:space="0"/>
            </w:tcBorders>
            <w:vAlign w:val="center"/>
          </w:tcPr>
          <w:p w14:paraId="1C9F0E94">
            <w:pPr>
              <w:adjustRightInd w:val="0"/>
              <w:snapToGrid w:val="0"/>
              <w:spacing w:line="480" w:lineRule="exact"/>
              <w:jc w:val="center"/>
              <w:rPr>
                <w:rFonts w:hint="default" w:ascii="仿宋_GB2312" w:hAnsi="宋体" w:eastAsia="仿宋_GB2312"/>
                <w:sz w:val="24"/>
                <w:szCs w:val="24"/>
                <w:lang w:val="en-US" w:eastAsia="zh-CN"/>
              </w:rPr>
            </w:pPr>
          </w:p>
        </w:tc>
      </w:tr>
      <w:tr w14:paraId="2987FC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3FA19B0D">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项目投资</w:t>
            </w:r>
            <w:r>
              <w:rPr>
                <w:rFonts w:hint="eastAsia" w:ascii="仿宋_GB2312" w:hAnsi="宋体" w:eastAsia="仿宋_GB2312"/>
                <w:sz w:val="24"/>
                <w:szCs w:val="24"/>
                <w:lang w:eastAsia="zh-CN"/>
              </w:rPr>
              <w:t>（</w:t>
            </w:r>
            <w:r>
              <w:rPr>
                <w:rFonts w:hint="eastAsia" w:ascii="仿宋_GB2312" w:hAnsi="宋体" w:eastAsia="仿宋_GB2312"/>
                <w:sz w:val="24"/>
                <w:szCs w:val="24"/>
              </w:rPr>
              <w:t>万元</w:t>
            </w:r>
            <w:r>
              <w:rPr>
                <w:rFonts w:hint="eastAsia" w:ascii="仿宋_GB2312" w:hAnsi="宋体" w:eastAsia="仿宋_GB2312"/>
                <w:sz w:val="24"/>
                <w:szCs w:val="24"/>
                <w:lang w:eastAsia="zh-CN"/>
              </w:rPr>
              <w:t>）</w:t>
            </w:r>
          </w:p>
        </w:tc>
        <w:tc>
          <w:tcPr>
            <w:tcW w:w="2148" w:type="dxa"/>
            <w:tcBorders>
              <w:top w:val="single" w:color="auto" w:sz="4" w:space="0"/>
              <w:left w:val="single" w:color="auto" w:sz="4" w:space="0"/>
              <w:bottom w:val="single" w:color="auto" w:sz="4" w:space="0"/>
              <w:right w:val="single" w:color="auto" w:sz="4" w:space="0"/>
            </w:tcBorders>
            <w:vAlign w:val="center"/>
          </w:tcPr>
          <w:p w14:paraId="7562375D">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200</w:t>
            </w:r>
          </w:p>
        </w:tc>
        <w:tc>
          <w:tcPr>
            <w:tcW w:w="2553" w:type="dxa"/>
            <w:tcBorders>
              <w:top w:val="single" w:color="auto" w:sz="4" w:space="0"/>
              <w:left w:val="single" w:color="auto" w:sz="4" w:space="0"/>
              <w:bottom w:val="single" w:color="auto" w:sz="4" w:space="0"/>
              <w:right w:val="single" w:color="auto" w:sz="4" w:space="0"/>
            </w:tcBorders>
            <w:vAlign w:val="center"/>
          </w:tcPr>
          <w:p w14:paraId="53CCDBCC">
            <w:pPr>
              <w:adjustRightInd w:val="0"/>
              <w:snapToGrid w:val="0"/>
              <w:spacing w:line="480" w:lineRule="exact"/>
              <w:jc w:val="center"/>
              <w:rPr>
                <w:rFonts w:hint="eastAsia" w:ascii="仿宋_GB2312" w:hAnsi="宋体" w:eastAsia="仿宋_GB2312"/>
                <w:sz w:val="24"/>
                <w:szCs w:val="24"/>
                <w:lang w:eastAsia="zh-CN"/>
              </w:rPr>
            </w:pPr>
            <w:r>
              <w:rPr>
                <w:rFonts w:hint="eastAsia" w:ascii="仿宋_GB2312" w:hAnsi="宋体" w:eastAsia="仿宋_GB2312"/>
                <w:sz w:val="24"/>
                <w:szCs w:val="24"/>
                <w:lang w:eastAsia="zh-CN"/>
              </w:rPr>
              <w:t>环保投资（万元）</w:t>
            </w:r>
          </w:p>
        </w:tc>
        <w:tc>
          <w:tcPr>
            <w:tcW w:w="1744" w:type="dxa"/>
            <w:tcBorders>
              <w:top w:val="single" w:color="auto" w:sz="4" w:space="0"/>
              <w:left w:val="single" w:color="auto" w:sz="4" w:space="0"/>
              <w:bottom w:val="single" w:color="auto" w:sz="4" w:space="0"/>
              <w:right w:val="single" w:color="auto" w:sz="8" w:space="0"/>
            </w:tcBorders>
            <w:vAlign w:val="center"/>
          </w:tcPr>
          <w:p w14:paraId="3B351CAC">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11</w:t>
            </w:r>
          </w:p>
        </w:tc>
      </w:tr>
      <w:tr w14:paraId="77238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044025F">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拟投入生产运营日期</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060BD706">
            <w:pPr>
              <w:adjustRightInd w:val="0"/>
              <w:snapToGrid w:val="0"/>
              <w:spacing w:line="480" w:lineRule="exact"/>
              <w:jc w:val="center"/>
              <w:rPr>
                <w:rFonts w:ascii="Times New Roman" w:hAnsi="Times New Roman" w:eastAsia="仿宋" w:cs="Times New Roman"/>
                <w:sz w:val="24"/>
                <w:szCs w:val="24"/>
              </w:rPr>
            </w:pPr>
            <w:r>
              <w:rPr>
                <w:rFonts w:hint="eastAsia" w:ascii="仿宋_GB2312" w:hAnsi="宋体" w:eastAsia="仿宋_GB2312"/>
                <w:sz w:val="24"/>
                <w:szCs w:val="24"/>
              </w:rPr>
              <w:t>202</w:t>
            </w:r>
            <w:r>
              <w:rPr>
                <w:rFonts w:hint="eastAsia" w:ascii="仿宋_GB2312" w:hAnsi="宋体" w:eastAsia="仿宋_GB2312"/>
                <w:sz w:val="24"/>
                <w:szCs w:val="24"/>
                <w:lang w:val="en-US" w:eastAsia="zh-CN"/>
              </w:rPr>
              <w:t>6</w:t>
            </w:r>
            <w:r>
              <w:rPr>
                <w:rFonts w:hint="eastAsia" w:ascii="仿宋_GB2312" w:hAnsi="宋体" w:eastAsia="仿宋_GB2312"/>
                <w:sz w:val="24"/>
                <w:szCs w:val="24"/>
              </w:rPr>
              <w:t>年</w:t>
            </w:r>
            <w:r>
              <w:rPr>
                <w:rFonts w:hint="eastAsia" w:ascii="仿宋_GB2312" w:hAnsi="宋体" w:eastAsia="仿宋_GB2312"/>
                <w:sz w:val="24"/>
                <w:szCs w:val="24"/>
                <w:lang w:val="en-US" w:eastAsia="zh-CN"/>
              </w:rPr>
              <w:t>2</w:t>
            </w:r>
            <w:r>
              <w:rPr>
                <w:rFonts w:hint="eastAsia" w:ascii="仿宋_GB2312" w:hAnsi="宋体" w:eastAsia="仿宋_GB2312"/>
                <w:sz w:val="24"/>
                <w:szCs w:val="24"/>
              </w:rPr>
              <w:t>月</w:t>
            </w:r>
          </w:p>
        </w:tc>
      </w:tr>
      <w:tr w14:paraId="391C98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7"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91EB008">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告知承诺制审批依据</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1F483A25">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ascii="Times New Roman" w:hAnsi="Times New Roman" w:eastAsia="仿宋" w:cs="Times New Roman"/>
                <w:sz w:val="24"/>
                <w:szCs w:val="24"/>
              </w:rPr>
            </w:pPr>
            <w:r>
              <w:rPr>
                <w:rFonts w:hint="eastAsia" w:ascii="Times New Roman" w:hAnsi="仿宋" w:eastAsia="仿宋" w:cs="Times New Roman"/>
                <w:sz w:val="24"/>
                <w:szCs w:val="24"/>
              </w:rPr>
              <w:t>本</w:t>
            </w:r>
            <w:r>
              <w:rPr>
                <w:rFonts w:ascii="Times New Roman" w:hAnsi="仿宋" w:eastAsia="仿宋" w:cs="Times New Roman"/>
                <w:sz w:val="24"/>
                <w:szCs w:val="24"/>
              </w:rPr>
              <w:t>项目属于《吉林省生态环境厅关于实施建设项目环境影响评价文件审批事项告知承诺制改革试点的通知》适用范围中的</w:t>
            </w:r>
            <w:r>
              <w:rPr>
                <w:rFonts w:ascii="Times New Roman" w:hAnsi="Times New Roman" w:eastAsia="仿宋" w:cs="Times New Roman"/>
                <w:sz w:val="24"/>
                <w:szCs w:val="24"/>
              </w:rPr>
              <w:t>“</w:t>
            </w:r>
            <w:r>
              <w:rPr>
                <w:rFonts w:ascii="Times New Roman" w:hAnsi="仿宋" w:eastAsia="仿宋" w:cs="Times New Roman"/>
                <w:sz w:val="24"/>
                <w:szCs w:val="24"/>
              </w:rPr>
              <w:t>除有毒、有害及危险品的仓储、物流配送项目外，应编制环境影响报告表的</w:t>
            </w:r>
            <w:r>
              <w:rPr>
                <w:rFonts w:ascii="Times New Roman" w:hAnsi="Times New Roman" w:eastAsia="仿宋" w:cs="Times New Roman"/>
                <w:sz w:val="24"/>
                <w:szCs w:val="24"/>
              </w:rPr>
              <w:t>”</w:t>
            </w:r>
            <w:r>
              <w:rPr>
                <w:rFonts w:ascii="Times New Roman" w:hAnsi="仿宋" w:eastAsia="仿宋" w:cs="Times New Roman"/>
                <w:sz w:val="24"/>
                <w:szCs w:val="24"/>
              </w:rPr>
              <w:t>建设项目。</w:t>
            </w:r>
          </w:p>
        </w:tc>
      </w:tr>
      <w:tr w14:paraId="0552F8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5825265">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建设内容及规模</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49692F53">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pPr>
            <w:r>
              <w:rPr>
                <w:rFonts w:hint="eastAsia" w:ascii="仿宋" w:hAnsi="仿宋" w:eastAsia="仿宋" w:cs="仿宋"/>
                <w:sz w:val="24"/>
                <w:szCs w:val="24"/>
                <w:lang w:val="en-US" w:eastAsia="zh-CN"/>
              </w:rPr>
              <w:t>本</w:t>
            </w:r>
            <w:r>
              <w:rPr>
                <w:rFonts w:hint="eastAsia" w:ascii="仿宋" w:hAnsi="仿宋" w:eastAsia="仿宋" w:cs="仿宋"/>
                <w:color w:val="000000" w:themeColor="text1"/>
                <w:sz w:val="24"/>
                <w:szCs w:val="24"/>
                <w:highlight w:val="none"/>
                <w:lang w:val="en-US" w:eastAsia="zh-CN"/>
              </w:rPr>
              <w:t>项目在现有厂房后处理车间内新建2条掺混肥料生产线和1条稳定性包衣尿素生产线及其配套设施，建成后年产掺混肥料共4.8万吨、稳定性包衣尿素2.4万吨。新设</w:t>
            </w:r>
            <w:r>
              <w:rPr>
                <w:rFonts w:hint="eastAsia" w:ascii="仿宋" w:hAnsi="仿宋" w:eastAsia="仿宋" w:cs="仿宋"/>
                <w:color w:val="000000" w:themeColor="text1"/>
                <w:sz w:val="24"/>
                <w:szCs w:val="24"/>
                <w:lang w:val="en-US" w:eastAsia="zh-CN"/>
              </w:rPr>
              <w:t>200m</w:t>
            </w:r>
            <w:r>
              <w:rPr>
                <w:rFonts w:hint="eastAsia" w:ascii="仿宋" w:hAnsi="仿宋" w:eastAsia="仿宋" w:cs="仿宋"/>
                <w:color w:val="000000" w:themeColor="text1"/>
                <w:sz w:val="24"/>
                <w:szCs w:val="24"/>
                <w:vertAlign w:val="superscript"/>
                <w:lang w:val="en-US" w:eastAsia="zh-CN"/>
              </w:rPr>
              <w:t>2</w:t>
            </w:r>
            <w:r>
              <w:rPr>
                <w:rFonts w:hint="eastAsia" w:ascii="仿宋" w:hAnsi="仿宋" w:eastAsia="仿宋" w:cs="仿宋"/>
                <w:color w:val="000000" w:themeColor="text1"/>
                <w:sz w:val="24"/>
                <w:szCs w:val="24"/>
                <w:highlight w:val="none"/>
                <w:lang w:val="en-US" w:eastAsia="zh-CN"/>
              </w:rPr>
              <w:t>原料储存区、</w:t>
            </w:r>
            <w:r>
              <w:rPr>
                <w:rFonts w:hint="eastAsia" w:ascii="仿宋" w:hAnsi="仿宋" w:eastAsia="仿宋" w:cs="仿宋"/>
                <w:color w:val="000000" w:themeColor="text1"/>
                <w:sz w:val="24"/>
                <w:szCs w:val="24"/>
                <w:lang w:val="en-US" w:eastAsia="zh-CN"/>
              </w:rPr>
              <w:t>300m</w:t>
            </w:r>
            <w:r>
              <w:rPr>
                <w:rFonts w:hint="eastAsia" w:ascii="仿宋" w:hAnsi="仿宋" w:eastAsia="仿宋" w:cs="仿宋"/>
                <w:color w:val="000000" w:themeColor="text1"/>
                <w:sz w:val="24"/>
                <w:szCs w:val="24"/>
                <w:vertAlign w:val="superscript"/>
                <w:lang w:val="en-US" w:eastAsia="zh-CN"/>
              </w:rPr>
              <w:t>2</w:t>
            </w:r>
            <w:r>
              <w:rPr>
                <w:rFonts w:hint="eastAsia" w:ascii="仿宋" w:hAnsi="仿宋" w:eastAsia="仿宋" w:cs="仿宋"/>
                <w:color w:val="000000" w:themeColor="text1"/>
                <w:sz w:val="24"/>
                <w:szCs w:val="24"/>
                <w:lang w:val="en-US" w:eastAsia="zh-CN"/>
              </w:rPr>
              <w:t>产品</w:t>
            </w:r>
            <w:r>
              <w:rPr>
                <w:rFonts w:hint="eastAsia" w:ascii="仿宋" w:hAnsi="仿宋" w:eastAsia="仿宋" w:cs="仿宋"/>
                <w:color w:val="000000" w:themeColor="text1"/>
                <w:sz w:val="24"/>
                <w:szCs w:val="24"/>
              </w:rPr>
              <w:t>储存</w:t>
            </w:r>
            <w:r>
              <w:rPr>
                <w:rFonts w:hint="eastAsia" w:ascii="仿宋" w:hAnsi="仿宋" w:eastAsia="仿宋" w:cs="仿宋"/>
                <w:color w:val="000000" w:themeColor="text1"/>
                <w:sz w:val="24"/>
                <w:szCs w:val="24"/>
                <w:lang w:val="en-US" w:eastAsia="zh-CN"/>
              </w:rPr>
              <w:t>区、30m</w:t>
            </w:r>
            <w:r>
              <w:rPr>
                <w:rFonts w:hint="eastAsia" w:ascii="仿宋" w:hAnsi="仿宋" w:eastAsia="仿宋" w:cs="仿宋"/>
                <w:color w:val="000000" w:themeColor="text1"/>
                <w:sz w:val="24"/>
                <w:szCs w:val="24"/>
                <w:vertAlign w:val="superscript"/>
                <w:lang w:val="en-US" w:eastAsia="zh-CN"/>
              </w:rPr>
              <w:t>2</w:t>
            </w:r>
            <w:r>
              <w:rPr>
                <w:rFonts w:hint="eastAsia" w:ascii="仿宋" w:hAnsi="仿宋" w:eastAsia="仿宋" w:cs="仿宋"/>
                <w:color w:val="000000" w:themeColor="text1"/>
                <w:sz w:val="24"/>
                <w:szCs w:val="24"/>
                <w:vertAlign w:val="baseline"/>
                <w:lang w:val="en-US" w:eastAsia="zh-CN"/>
              </w:rPr>
              <w:t>危废贮存库</w:t>
            </w:r>
            <w:r>
              <w:rPr>
                <w:rFonts w:hint="eastAsia" w:ascii="仿宋" w:hAnsi="仿宋" w:eastAsia="仿宋" w:cs="仿宋"/>
                <w:color w:val="000000" w:themeColor="text1"/>
                <w:sz w:val="24"/>
                <w:szCs w:val="24"/>
                <w:highlight w:val="none"/>
                <w:lang w:val="en-US" w:eastAsia="zh-CN"/>
              </w:rPr>
              <w:t>、2</w:t>
            </w:r>
            <w:r>
              <w:rPr>
                <w:rFonts w:hint="default" w:ascii="仿宋" w:hAnsi="仿宋" w:eastAsia="仿宋" w:cs="仿宋"/>
                <w:color w:val="000000" w:themeColor="text1"/>
                <w:sz w:val="24"/>
                <w:szCs w:val="24"/>
                <w:highlight w:val="none"/>
                <w:lang w:val="en-US" w:eastAsia="zh-CN"/>
              </w:rPr>
              <w:t>0m</w:t>
            </w:r>
            <w:r>
              <w:rPr>
                <w:rFonts w:hint="default" w:ascii="仿宋" w:hAnsi="仿宋" w:eastAsia="仿宋" w:cs="仿宋"/>
                <w:color w:val="000000" w:themeColor="text1"/>
                <w:sz w:val="24"/>
                <w:szCs w:val="24"/>
                <w:highlight w:val="none"/>
                <w:vertAlign w:val="superscript"/>
                <w:lang w:val="en-US" w:eastAsia="zh-CN"/>
              </w:rPr>
              <w:t>2</w:t>
            </w:r>
            <w:r>
              <w:rPr>
                <w:rFonts w:hint="eastAsia" w:ascii="仿宋" w:hAnsi="仿宋" w:eastAsia="仿宋" w:cs="仿宋"/>
                <w:color w:val="000000" w:themeColor="text1"/>
                <w:sz w:val="24"/>
                <w:szCs w:val="24"/>
                <w:highlight w:val="none"/>
                <w:lang w:val="en-US" w:eastAsia="zh-CN"/>
              </w:rPr>
              <w:t>一般工业固体废物贮存区以及废气处理设施</w:t>
            </w:r>
            <w:r>
              <w:rPr>
                <w:rFonts w:hint="eastAsia" w:ascii="仿宋" w:hAnsi="仿宋" w:eastAsia="仿宋" w:cs="仿宋"/>
                <w:color w:val="000000" w:themeColor="text1"/>
                <w:sz w:val="24"/>
                <w:szCs w:val="24"/>
                <w:lang w:val="en-US" w:eastAsia="zh-CN"/>
              </w:rPr>
              <w:t>。其他工程依托现有。</w:t>
            </w:r>
            <w:r>
              <w:rPr>
                <w:rFonts w:hint="eastAsia" w:ascii="仿宋" w:hAnsi="仿宋" w:eastAsia="仿宋" w:cs="仿宋"/>
                <w:sz w:val="24"/>
                <w:szCs w:val="24"/>
                <w:lang w:val="en-US" w:eastAsia="zh-CN"/>
              </w:rPr>
              <w:t>本项目不新增劳动定员，年工作</w:t>
            </w:r>
            <w:r>
              <w:rPr>
                <w:rFonts w:hint="eastAsia" w:ascii="仿宋" w:hAnsi="仿宋" w:eastAsia="仿宋" w:cs="仿宋"/>
                <w:color w:val="000000" w:themeColor="text1"/>
                <w:sz w:val="24"/>
                <w:szCs w:val="24"/>
                <w:highlight w:val="none"/>
                <w:lang w:val="en-US" w:eastAsia="zh-CN"/>
              </w:rPr>
              <w:t xml:space="preserve">300天，每天 </w:t>
            </w:r>
            <w:r>
              <w:rPr>
                <w:rFonts w:hint="default" w:ascii="仿宋" w:hAnsi="仿宋" w:eastAsia="仿宋" w:cs="仿宋"/>
                <w:color w:val="000000" w:themeColor="text1"/>
                <w:sz w:val="24"/>
                <w:szCs w:val="24"/>
                <w:highlight w:val="none"/>
                <w:lang w:val="en-US" w:eastAsia="zh-CN"/>
              </w:rPr>
              <w:t xml:space="preserve">2 </w:t>
            </w:r>
            <w:r>
              <w:rPr>
                <w:rFonts w:hint="eastAsia" w:ascii="仿宋" w:hAnsi="仿宋" w:eastAsia="仿宋" w:cs="仿宋"/>
                <w:color w:val="000000" w:themeColor="text1"/>
                <w:sz w:val="24"/>
                <w:szCs w:val="24"/>
                <w:highlight w:val="none"/>
                <w:lang w:val="en-US" w:eastAsia="zh-CN"/>
              </w:rPr>
              <w:t xml:space="preserve">班，每班 </w:t>
            </w:r>
            <w:r>
              <w:rPr>
                <w:rFonts w:hint="default" w:ascii="仿宋" w:hAnsi="仿宋" w:eastAsia="仿宋" w:cs="仿宋"/>
                <w:color w:val="000000" w:themeColor="text1"/>
                <w:sz w:val="24"/>
                <w:szCs w:val="24"/>
                <w:highlight w:val="none"/>
                <w:lang w:val="en-US" w:eastAsia="zh-CN"/>
              </w:rPr>
              <w:t xml:space="preserve">8 </w:t>
            </w:r>
            <w:r>
              <w:rPr>
                <w:rFonts w:hint="eastAsia" w:ascii="仿宋" w:hAnsi="仿宋" w:eastAsia="仿宋" w:cs="仿宋"/>
                <w:color w:val="000000" w:themeColor="text1"/>
                <w:sz w:val="24"/>
                <w:szCs w:val="24"/>
                <w:highlight w:val="none"/>
                <w:lang w:val="en-US" w:eastAsia="zh-CN"/>
              </w:rPr>
              <w:t>小时</w:t>
            </w:r>
            <w:r>
              <w:rPr>
                <w:rFonts w:hint="eastAsia" w:ascii="仿宋" w:hAnsi="仿宋" w:eastAsia="仿宋" w:cs="仿宋"/>
                <w:sz w:val="24"/>
                <w:szCs w:val="24"/>
                <w:lang w:val="en-US" w:eastAsia="zh-CN"/>
              </w:rPr>
              <w:t>。本项目依托现有1台2t/h燃气锅炉供暖。</w:t>
            </w:r>
          </w:p>
        </w:tc>
      </w:tr>
      <w:tr w14:paraId="3BFE4A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4" w:hRule="atLeast"/>
          <w:jc w:val="center"/>
        </w:trPr>
        <w:tc>
          <w:tcPr>
            <w:tcW w:w="8522" w:type="dxa"/>
            <w:gridSpan w:val="4"/>
            <w:tcBorders>
              <w:top w:val="single" w:color="auto" w:sz="4" w:space="0"/>
              <w:left w:val="single" w:color="auto" w:sz="8" w:space="0"/>
              <w:bottom w:val="single" w:color="auto" w:sz="4" w:space="0"/>
              <w:right w:val="single" w:color="auto" w:sz="8" w:space="0"/>
            </w:tcBorders>
          </w:tcPr>
          <w:p w14:paraId="2A6BA3D4">
            <w:pPr>
              <w:adjustRightInd w:val="0"/>
              <w:snapToGrid w:val="0"/>
              <w:spacing w:line="460" w:lineRule="exact"/>
              <w:rPr>
                <w:rFonts w:ascii="仿宋_GB2312" w:hAnsi="宋体" w:eastAsia="仿宋_GB2312" w:cs="仿宋_GB2312"/>
                <w:b/>
                <w:sz w:val="24"/>
                <w:szCs w:val="24"/>
              </w:rPr>
            </w:pPr>
            <w:r>
              <w:rPr>
                <w:rFonts w:hint="eastAsia" w:ascii="仿宋_GB2312" w:hAnsi="宋体" w:eastAsia="仿宋_GB2312" w:cs="仿宋_GB2312"/>
                <w:b/>
                <w:sz w:val="24"/>
                <w:szCs w:val="24"/>
              </w:rPr>
              <w:t>环评文件提出的主要环境污染及生态破坏防治设施和措施简述（主要污染源采用的环保设施（措施）及效率、处理后污染物排放标准和排放总量、排放去向，采用的主要环境风险防治措施）：</w:t>
            </w:r>
          </w:p>
          <w:p w14:paraId="08CC977C">
            <w:pPr>
              <w:pStyle w:val="3"/>
              <w:keepNext w:val="0"/>
              <w:keepLines w:val="0"/>
              <w:pageBreakBefore w:val="0"/>
              <w:widowControl w:val="0"/>
              <w:tabs>
                <w:tab w:val="left" w:pos="0"/>
                <w:tab w:val="left" w:pos="1260"/>
              </w:tabs>
              <w:kinsoku/>
              <w:wordWrap/>
              <w:overflowPunct/>
              <w:topLinePunct w:val="0"/>
              <w:autoSpaceDE/>
              <w:autoSpaceDN/>
              <w:bidi w:val="0"/>
              <w:spacing w:line="52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1.废气：</w:t>
            </w:r>
          </w:p>
          <w:p w14:paraId="7ED60885">
            <w:pPr>
              <w:keepNext w:val="0"/>
              <w:keepLines w:val="0"/>
              <w:pageBreakBefore w:val="0"/>
              <w:widowControl/>
              <w:suppressLineNumbers w:val="0"/>
              <w:kinsoku/>
              <w:wordWrap/>
              <w:overflowPunct/>
              <w:topLinePunct w:val="0"/>
              <w:autoSpaceDE/>
              <w:autoSpaceDN/>
              <w:bidi w:val="0"/>
              <w:spacing w:line="520" w:lineRule="exact"/>
              <w:ind w:firstLine="480" w:firstLineChars="200"/>
              <w:jc w:val="left"/>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本项目配料仓、成品料仓、各提升机全封闭，投料地槽上方、多斗配料仓上方、滚筛机上方、振动筛上方、搅拌混合机出口处、包装机出料口处分别设置集气罩，投料粉尘、物料转运粉尘、尿素中游离氨释放的氨气、臭气浓度、混合搅拌废气、物料加热产生的少量有机废气通过管道系统和15000m</w:t>
            </w:r>
            <w:r>
              <w:rPr>
                <w:rFonts w:hint="eastAsia" w:ascii="仿宋" w:hAnsi="仿宋" w:eastAsia="仿宋" w:cs="Times New Roman"/>
                <w:kern w:val="2"/>
                <w:sz w:val="24"/>
                <w:szCs w:val="24"/>
                <w:vertAlign w:val="superscript"/>
                <w:lang w:val="en-US" w:eastAsia="zh-CN" w:bidi="ar-SA"/>
              </w:rPr>
              <w:t>3</w:t>
            </w:r>
            <w:r>
              <w:rPr>
                <w:rFonts w:hint="eastAsia" w:ascii="仿宋" w:hAnsi="仿宋" w:eastAsia="仿宋" w:cs="Times New Roman"/>
                <w:kern w:val="2"/>
                <w:sz w:val="24"/>
                <w:szCs w:val="24"/>
                <w:lang w:val="en-US" w:eastAsia="zh-CN" w:bidi="ar-SA"/>
              </w:rPr>
              <w:t>/h引风机集气，经布袋除尘处理后经15m高排气筒（DA011）排放。</w:t>
            </w:r>
          </w:p>
          <w:p w14:paraId="67BB4F6F">
            <w:pPr>
              <w:pStyle w:val="3"/>
              <w:keepNext w:val="0"/>
              <w:keepLines w:val="0"/>
              <w:pageBreakBefore w:val="0"/>
              <w:widowControl w:val="0"/>
              <w:tabs>
                <w:tab w:val="left" w:pos="0"/>
                <w:tab w:val="left" w:pos="1260"/>
              </w:tabs>
              <w:kinsoku/>
              <w:wordWrap/>
              <w:overflowPunct/>
              <w:topLinePunct w:val="0"/>
              <w:autoSpaceDE/>
              <w:autoSpaceDN/>
              <w:bidi w:val="0"/>
              <w:spacing w:line="520" w:lineRule="exact"/>
              <w:ind w:firstLine="480" w:firstLineChars="200"/>
              <w:textAlignment w:val="auto"/>
              <w:rPr>
                <w:rFonts w:hint="default"/>
                <w:lang w:val="en-US" w:eastAsia="zh-CN"/>
              </w:rPr>
            </w:pPr>
            <w:r>
              <w:rPr>
                <w:rFonts w:hint="eastAsia" w:ascii="仿宋" w:hAnsi="仿宋" w:eastAsia="仿宋" w:cs="仿宋"/>
                <w:bCs/>
                <w:color w:val="000000" w:themeColor="text1"/>
                <w:spacing w:val="0"/>
                <w:sz w:val="24"/>
                <w:szCs w:val="24"/>
                <w:highlight w:val="none"/>
                <w:lang w:val="en-US" w:eastAsia="zh-CN"/>
              </w:rPr>
              <w:t>本项目颗粒物有组织排放速率执行《大</w:t>
            </w:r>
            <w:r>
              <w:rPr>
                <w:rFonts w:hint="eastAsia" w:ascii="仿宋" w:hAnsi="仿宋" w:eastAsia="仿宋"/>
                <w:sz w:val="24"/>
                <w:szCs w:val="24"/>
                <w:lang w:val="en-US" w:eastAsia="zh-CN"/>
              </w:rPr>
              <w:t>气污染物综合排放标准》（GB16297-1996）表2中二级标准要求；氨气、臭气浓度有组织排放满足执行《恶臭污染物排放标准》（GB14554-1993）中表2标准值要求；厂界颗粒物、有机废气（以非甲烷总烃计）无组织排放执行《大气污染物综合排放标准》（GB16297-1996）表2无组织排放监控浓度限值要求；厂界氨气、臭气浓度无组织排放执行《恶臭污染物排放标准》（GB14554-1993）表1 厂界标准值要求；</w:t>
            </w:r>
            <w:r>
              <w:rPr>
                <w:rFonts w:hint="default" w:ascii="仿宋" w:hAnsi="仿宋" w:eastAsia="仿宋"/>
                <w:sz w:val="24"/>
                <w:szCs w:val="24"/>
                <w:lang w:val="en-US" w:eastAsia="zh-CN"/>
              </w:rPr>
              <w:t>厂区内</w:t>
            </w:r>
            <w:r>
              <w:rPr>
                <w:rFonts w:hint="eastAsia" w:ascii="仿宋" w:hAnsi="仿宋" w:eastAsia="仿宋"/>
                <w:sz w:val="24"/>
                <w:szCs w:val="24"/>
                <w:lang w:val="en-US" w:eastAsia="zh-CN"/>
              </w:rPr>
              <w:t>有机废气（以非甲烷总烃计）</w:t>
            </w:r>
            <w:r>
              <w:rPr>
                <w:rFonts w:hint="default" w:ascii="仿宋" w:hAnsi="仿宋" w:eastAsia="仿宋"/>
                <w:sz w:val="24"/>
                <w:szCs w:val="24"/>
                <w:lang w:val="en-US" w:eastAsia="zh-CN"/>
              </w:rPr>
              <w:t>无组织排放执行《挥发性有机物无组织排放控制标准》（GB37822-2019）中附录A排放限值要求</w:t>
            </w:r>
            <w:r>
              <w:rPr>
                <w:rFonts w:hint="eastAsia" w:ascii="仿宋" w:hAnsi="仿宋" w:eastAsia="仿宋"/>
                <w:sz w:val="24"/>
                <w:szCs w:val="24"/>
                <w:lang w:val="en-US" w:eastAsia="zh-CN"/>
              </w:rPr>
              <w:t>。</w:t>
            </w:r>
          </w:p>
          <w:p w14:paraId="07983BBE">
            <w:pPr>
              <w:pStyle w:val="3"/>
              <w:keepNext w:val="0"/>
              <w:keepLines w:val="0"/>
              <w:pageBreakBefore w:val="0"/>
              <w:widowControl w:val="0"/>
              <w:tabs>
                <w:tab w:val="left" w:pos="0"/>
                <w:tab w:val="left" w:pos="1260"/>
              </w:tabs>
              <w:kinsoku/>
              <w:wordWrap/>
              <w:overflowPunct/>
              <w:topLinePunct w:val="0"/>
              <w:autoSpaceDE/>
              <w:autoSpaceDN/>
              <w:bidi w:val="0"/>
              <w:spacing w:line="52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2.废水：</w:t>
            </w:r>
          </w:p>
          <w:p w14:paraId="4631BB5D">
            <w:pPr>
              <w:keepNext w:val="0"/>
              <w:keepLines w:val="0"/>
              <w:pageBreakBefore w:val="0"/>
              <w:widowControl w:val="0"/>
              <w:suppressLineNumbers w:val="0"/>
              <w:kinsoku/>
              <w:wordWrap/>
              <w:overflowPunct/>
              <w:topLinePunct w:val="0"/>
              <w:autoSpaceDE/>
              <w:autoSpaceDN/>
              <w:bidi w:val="0"/>
              <w:spacing w:before="0" w:beforeAutospacing="0" w:after="0" w:afterAutospacing="0" w:line="520" w:lineRule="exact"/>
              <w:ind w:left="0" w:right="0" w:firstLine="480" w:firstLineChars="200"/>
              <w:textAlignment w:val="auto"/>
              <w:rPr>
                <w:rFonts w:hint="default" w:ascii="仿宋" w:hAnsi="仿宋" w:eastAsia="仿宋" w:cs="Times New Roman"/>
                <w:sz w:val="24"/>
                <w:szCs w:val="24"/>
                <w:lang w:val="zh-CN" w:eastAsia="zh-CN"/>
              </w:rPr>
            </w:pPr>
            <w:r>
              <w:rPr>
                <w:rFonts w:hint="eastAsia" w:ascii="仿宋" w:hAnsi="仿宋" w:eastAsia="仿宋" w:cs="Times New Roman"/>
                <w:sz w:val="24"/>
                <w:szCs w:val="24"/>
                <w:lang w:val="en-US" w:eastAsia="zh-CN"/>
              </w:rPr>
              <w:t>本项目无新增生产废水及生活污水排放</w:t>
            </w:r>
            <w:r>
              <w:rPr>
                <w:rFonts w:hint="default" w:ascii="仿宋" w:hAnsi="仿宋" w:eastAsia="仿宋" w:cs="Times New Roman"/>
                <w:sz w:val="24"/>
                <w:szCs w:val="24"/>
                <w:lang w:val="en-US" w:eastAsia="zh-CN"/>
              </w:rPr>
              <w:t>。</w:t>
            </w:r>
          </w:p>
          <w:p w14:paraId="5BE864C9">
            <w:pPr>
              <w:pStyle w:val="3"/>
              <w:keepNext w:val="0"/>
              <w:keepLines w:val="0"/>
              <w:pageBreakBefore w:val="0"/>
              <w:widowControl w:val="0"/>
              <w:tabs>
                <w:tab w:val="left" w:pos="0"/>
                <w:tab w:val="left" w:pos="1260"/>
              </w:tabs>
              <w:kinsoku/>
              <w:wordWrap/>
              <w:overflowPunct/>
              <w:topLinePunct w:val="0"/>
              <w:autoSpaceDE/>
              <w:autoSpaceDN/>
              <w:bidi w:val="0"/>
              <w:spacing w:line="520" w:lineRule="exact"/>
              <w:ind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lang w:val="en-US" w:eastAsia="zh-CN"/>
              </w:rPr>
              <w:t>3.噪声：</w:t>
            </w:r>
          </w:p>
          <w:p w14:paraId="2B882BCE">
            <w:pPr>
              <w:pStyle w:val="3"/>
              <w:keepNext w:val="0"/>
              <w:keepLines w:val="0"/>
              <w:pageBreakBefore w:val="0"/>
              <w:widowControl w:val="0"/>
              <w:tabs>
                <w:tab w:val="left" w:pos="0"/>
                <w:tab w:val="left" w:pos="1260"/>
              </w:tabs>
              <w:kinsoku/>
              <w:wordWrap/>
              <w:overflowPunct/>
              <w:topLinePunct w:val="0"/>
              <w:autoSpaceDE/>
              <w:autoSpaceDN/>
              <w:bidi w:val="0"/>
              <w:spacing w:line="52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运营期间选取低噪声设备</w:t>
            </w:r>
            <w:r>
              <w:rPr>
                <w:rFonts w:hint="eastAsia" w:ascii="仿宋" w:hAnsi="仿宋" w:eastAsia="仿宋" w:cs="Times New Roman"/>
                <w:sz w:val="24"/>
                <w:szCs w:val="24"/>
                <w:lang w:val="en-US" w:eastAsia="zh-CN"/>
              </w:rPr>
              <w:t>，通过距离衰减、基础减振、墙体隔声等措施，确保厂界噪声满足《工业企业厂界环境噪声排放标准》</w:t>
            </w:r>
            <w:r>
              <w:rPr>
                <w:rFonts w:hint="default" w:ascii="仿宋" w:hAnsi="仿宋" w:eastAsia="仿宋" w:cs="Times New Roman"/>
                <w:sz w:val="24"/>
                <w:szCs w:val="24"/>
                <w:lang w:val="en-US" w:eastAsia="zh-CN"/>
              </w:rPr>
              <w:t>（GB12348-2008）</w:t>
            </w:r>
            <w:r>
              <w:rPr>
                <w:rFonts w:hint="eastAsia" w:ascii="仿宋" w:hAnsi="仿宋" w:eastAsia="仿宋" w:cs="Times New Roman"/>
                <w:sz w:val="24"/>
                <w:szCs w:val="24"/>
                <w:lang w:val="en-US" w:eastAsia="zh-CN"/>
              </w:rPr>
              <w:t xml:space="preserve">中3类声环境功能区（西侧、南侧、北侧）、4a类声环境功能区（东侧）标准要求。 </w:t>
            </w:r>
          </w:p>
          <w:p w14:paraId="64A082BB">
            <w:pPr>
              <w:pStyle w:val="3"/>
              <w:keepNext w:val="0"/>
              <w:keepLines w:val="0"/>
              <w:pageBreakBefore w:val="0"/>
              <w:widowControl w:val="0"/>
              <w:tabs>
                <w:tab w:val="left" w:pos="0"/>
                <w:tab w:val="left" w:pos="1260"/>
              </w:tabs>
              <w:kinsoku/>
              <w:wordWrap/>
              <w:overflowPunct/>
              <w:topLinePunct w:val="0"/>
              <w:autoSpaceDE/>
              <w:autoSpaceDN/>
              <w:bidi w:val="0"/>
              <w:spacing w:line="520" w:lineRule="exact"/>
              <w:ind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lang w:val="en-US" w:eastAsia="zh-CN"/>
              </w:rPr>
              <w:t>4.固废：</w:t>
            </w:r>
          </w:p>
          <w:p w14:paraId="4F490334">
            <w:pPr>
              <w:pStyle w:val="3"/>
              <w:keepNext w:val="0"/>
              <w:keepLines w:val="0"/>
              <w:pageBreakBefore w:val="0"/>
              <w:widowControl w:val="0"/>
              <w:tabs>
                <w:tab w:val="left" w:pos="0"/>
                <w:tab w:val="left" w:pos="1260"/>
              </w:tabs>
              <w:kinsoku/>
              <w:wordWrap/>
              <w:overflowPunct/>
              <w:topLinePunct w:val="0"/>
              <w:autoSpaceDE/>
              <w:autoSpaceDN/>
              <w:bidi w:val="0"/>
              <w:spacing w:line="52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本项目染色剂、肥料增效剂废包装桶、废润滑油、废润滑油桶、检验室废液、废试剂瓶分类密封，液体废物采用密闭桶装且容器底部设置防渗漏托盘，暂存于危废贮存库后，定期委托有资质单位处理；布袋除尘器收集尘、地面收集尘、筛分杂质</w:t>
            </w:r>
            <w:r>
              <w:rPr>
                <w:rFonts w:hint="default" w:ascii="仿宋" w:hAnsi="仿宋" w:eastAsia="仿宋"/>
                <w:sz w:val="24"/>
                <w:szCs w:val="24"/>
                <w:lang w:val="en-US" w:eastAsia="zh-CN"/>
              </w:rPr>
              <w:t>回用于企业硫酸钾制粒生产</w:t>
            </w:r>
            <w:r>
              <w:rPr>
                <w:rFonts w:hint="eastAsia" w:ascii="仿宋" w:hAnsi="仿宋" w:eastAsia="仿宋"/>
                <w:sz w:val="24"/>
                <w:szCs w:val="24"/>
                <w:lang w:val="en-US" w:eastAsia="zh-CN"/>
              </w:rPr>
              <w:t>线；废布袋、</w:t>
            </w:r>
            <w:r>
              <w:rPr>
                <w:rFonts w:hint="default" w:ascii="仿宋" w:hAnsi="仿宋" w:eastAsia="仿宋"/>
                <w:sz w:val="24"/>
                <w:szCs w:val="24"/>
                <w:lang w:val="en-US" w:eastAsia="zh-CN"/>
              </w:rPr>
              <w:t>废</w:t>
            </w:r>
            <w:r>
              <w:rPr>
                <w:rFonts w:hint="eastAsia" w:ascii="仿宋" w:hAnsi="仿宋" w:eastAsia="仿宋"/>
                <w:sz w:val="24"/>
                <w:szCs w:val="24"/>
                <w:lang w:val="en-US" w:eastAsia="zh-CN"/>
              </w:rPr>
              <w:t>原料包装物外售资源回收单位；检验不合格品回用于掺混工序。</w:t>
            </w:r>
            <w:r>
              <w:rPr>
                <w:rFonts w:hint="eastAsia" w:ascii="仿宋" w:hAnsi="仿宋" w:eastAsia="仿宋" w:cs="Times New Roman"/>
                <w:sz w:val="24"/>
                <w:szCs w:val="24"/>
                <w:lang w:val="en-US" w:eastAsia="zh-CN"/>
              </w:rPr>
              <w:t xml:space="preserve">本项目一般固体废物处置执行《一般工业固体废物贮存和填埋污染控制标准》（GB18599-2020）；危险废物贮存库建设及运营执行《危险废物贮存污染控制标准》（GB18597-2023）及其修改单要求。 </w:t>
            </w:r>
          </w:p>
          <w:p w14:paraId="1A3D4D20">
            <w:pPr>
              <w:pStyle w:val="8"/>
              <w:keepNext w:val="0"/>
              <w:keepLines w:val="0"/>
              <w:pageBreakBefore w:val="0"/>
              <w:widowControl w:val="0"/>
              <w:numPr>
                <w:ilvl w:val="0"/>
                <w:numId w:val="1"/>
              </w:numPr>
              <w:suppressLineNumbers w:val="0"/>
              <w:kinsoku/>
              <w:wordWrap/>
              <w:overflowPunct/>
              <w:topLinePunct w:val="0"/>
              <w:autoSpaceDE/>
              <w:autoSpaceDN/>
              <w:bidi w:val="0"/>
              <w:adjustRightInd w:val="0"/>
              <w:snapToGrid w:val="0"/>
              <w:spacing w:before="0" w:beforeAutospacing="0" w:after="0" w:afterAutospacing="0" w:line="520" w:lineRule="exact"/>
              <w:ind w:left="0" w:leftChars="0" w:right="0" w:firstLine="480" w:firstLineChars="200"/>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环境风险防范措施：</w:t>
            </w:r>
          </w:p>
          <w:p w14:paraId="4AAB4019">
            <w:pPr>
              <w:pStyle w:val="8"/>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right="0" w:rightChars="0"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cs="Times New Roman"/>
                <w:kern w:val="2"/>
                <w:sz w:val="24"/>
                <w:szCs w:val="24"/>
                <w:lang w:val="en-US" w:eastAsia="zh-CN" w:bidi="ar-SA"/>
              </w:rPr>
              <w:t>及时修订污染</w:t>
            </w:r>
            <w:r>
              <w:rPr>
                <w:rFonts w:hint="eastAsia" w:ascii="仿宋" w:hAnsi="仿宋" w:eastAsia="仿宋" w:cs="Times New Roman"/>
                <w:sz w:val="24"/>
                <w:szCs w:val="24"/>
                <w:lang w:val="en-US" w:eastAsia="zh-CN"/>
              </w:rPr>
              <w:t>事故防范和处理应急预案，提高事故风险防范和污染控制能力，加强职工的教育培训和应急演练，防止风险事故的发生。</w:t>
            </w:r>
          </w:p>
          <w:p w14:paraId="13605737">
            <w:pPr>
              <w:pStyle w:val="3"/>
              <w:keepNext w:val="0"/>
              <w:keepLines w:val="0"/>
              <w:pageBreakBefore w:val="0"/>
              <w:widowControl w:val="0"/>
              <w:numPr>
                <w:ilvl w:val="0"/>
                <w:numId w:val="0"/>
              </w:numPr>
              <w:tabs>
                <w:tab w:val="left" w:pos="0"/>
                <w:tab w:val="left" w:pos="1260"/>
              </w:tabs>
              <w:kinsoku/>
              <w:wordWrap/>
              <w:overflowPunct/>
              <w:topLinePunct w:val="0"/>
              <w:autoSpaceDE/>
              <w:autoSpaceDN/>
              <w:bidi w:val="0"/>
              <w:spacing w:line="520" w:lineRule="exact"/>
              <w:ind w:firstLine="480" w:firstLineChars="200"/>
              <w:textAlignment w:val="auto"/>
              <w:rPr>
                <w:rFonts w:hint="default"/>
                <w:lang w:val="en-US" w:eastAsia="zh-CN"/>
              </w:rPr>
            </w:pPr>
            <w:r>
              <w:rPr>
                <w:rFonts w:hint="eastAsia" w:ascii="仿宋" w:hAnsi="仿宋" w:eastAsia="仿宋" w:cs="Times New Roman"/>
                <w:sz w:val="24"/>
                <w:szCs w:val="24"/>
                <w:lang w:val="en-US" w:eastAsia="zh-CN"/>
              </w:rPr>
              <w:t>6.落实各项监测计划。</w:t>
            </w:r>
          </w:p>
        </w:tc>
      </w:tr>
      <w:tr w14:paraId="08720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97" w:hRule="atLeast"/>
          <w:jc w:val="center"/>
        </w:trPr>
        <w:tc>
          <w:tcPr>
            <w:tcW w:w="8522" w:type="dxa"/>
            <w:gridSpan w:val="4"/>
            <w:tcBorders>
              <w:top w:val="single" w:color="auto" w:sz="4" w:space="0"/>
              <w:left w:val="single" w:color="auto" w:sz="8" w:space="0"/>
              <w:bottom w:val="single" w:color="auto" w:sz="8" w:space="0"/>
              <w:right w:val="single" w:color="auto" w:sz="8" w:space="0"/>
            </w:tcBorders>
            <w:vAlign w:val="center"/>
          </w:tcPr>
          <w:p w14:paraId="3699A1DC">
            <w:pPr>
              <w:pStyle w:val="8"/>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一、该项目环境影响报告表已经完成告知承诺制审批。对项目的环境管理要求按照环境保护法律法规的规定执行。</w:t>
            </w:r>
          </w:p>
          <w:p w14:paraId="3A7F4F40">
            <w:pPr>
              <w:pStyle w:val="8"/>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二、由吉林市生态环境保护综合行政执法支队龙潭大队负责按照《建设项目环境保护事中事后监督管理办法（试行）》（环发〔2015〕163号）的规定，进行本建设项目事中事后的环境监督管理工作。</w:t>
            </w:r>
          </w:p>
          <w:p w14:paraId="7024E967">
            <w:pPr>
              <w:pStyle w:val="8"/>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三、如项目不符合相关规划和产业政策要求，或存在《吉林省生态环境厅关于实施建设项目环境影响评价文件告知承诺制审批改革试点的通知》（吉环环评字〔2019〕18号）第五条第（六）款情形，本告知承诺制审批表无效。</w:t>
            </w:r>
          </w:p>
          <w:p w14:paraId="4DB280FA">
            <w:pPr>
              <w:pStyle w:val="8"/>
              <w:spacing w:line="360" w:lineRule="auto"/>
              <w:ind w:left="0" w:leftChars="0"/>
              <w:rPr>
                <w:rFonts w:hint="eastAsia" w:ascii="仿宋" w:hAnsi="仿宋" w:eastAsia="仿宋" w:cs="仿宋"/>
                <w:bCs/>
                <w:color w:val="000000"/>
                <w:kern w:val="0"/>
                <w:sz w:val="24"/>
                <w:szCs w:val="24"/>
                <w:lang w:val="zh-TW" w:eastAsia="zh-CN"/>
              </w:rPr>
            </w:pPr>
          </w:p>
          <w:p w14:paraId="3CD9A562">
            <w:pPr>
              <w:rPr>
                <w:rFonts w:hint="eastAsia" w:ascii="仿宋" w:hAnsi="仿宋" w:eastAsia="仿宋" w:cs="仿宋"/>
                <w:bCs/>
                <w:color w:val="000000"/>
                <w:kern w:val="0"/>
                <w:sz w:val="24"/>
                <w:szCs w:val="24"/>
                <w:lang w:val="zh-TW" w:eastAsia="zh-CN"/>
              </w:rPr>
            </w:pPr>
          </w:p>
          <w:p w14:paraId="415F1C5E">
            <w:pPr>
              <w:pStyle w:val="8"/>
              <w:rPr>
                <w:rFonts w:hint="eastAsia"/>
                <w:lang w:val="zh-TW" w:eastAsia="zh-CN"/>
              </w:rPr>
            </w:pPr>
          </w:p>
          <w:p w14:paraId="73A8BAC9">
            <w:pPr>
              <w:rPr>
                <w:rFonts w:hint="eastAsia" w:ascii="仿宋" w:hAnsi="仿宋" w:eastAsia="仿宋" w:cs="仿宋"/>
                <w:bCs/>
                <w:color w:val="000000"/>
                <w:kern w:val="0"/>
                <w:sz w:val="24"/>
                <w:szCs w:val="24"/>
                <w:lang w:val="zh-TW" w:eastAsia="zh-CN"/>
              </w:rPr>
            </w:pPr>
          </w:p>
          <w:p w14:paraId="2A93420B">
            <w:pPr>
              <w:pStyle w:val="8"/>
              <w:spacing w:line="360" w:lineRule="auto"/>
              <w:ind w:left="0" w:leftChars="0"/>
              <w:rPr>
                <w:rFonts w:hint="eastAsia" w:ascii="仿宋" w:hAnsi="仿宋" w:eastAsia="仿宋" w:cs="仿宋"/>
                <w:bCs/>
                <w:color w:val="000000"/>
                <w:kern w:val="0"/>
                <w:sz w:val="24"/>
                <w:szCs w:val="24"/>
                <w:lang w:val="zh-TW" w:eastAsia="zh-CN"/>
              </w:rPr>
            </w:pPr>
            <w:r>
              <w:rPr>
                <w:rFonts w:hint="eastAsia" w:ascii="仿宋" w:hAnsi="仿宋" w:eastAsia="仿宋" w:cs="仿宋"/>
                <w:bCs/>
                <w:color w:val="000000"/>
                <w:kern w:val="0"/>
                <w:sz w:val="24"/>
                <w:szCs w:val="24"/>
                <w:lang w:val="zh-TW" w:eastAsia="zh-CN"/>
              </w:rPr>
              <w:t>　　　　　　　　　　　　　　　　　　　吉林市生态环境局</w:t>
            </w:r>
          </w:p>
          <w:p w14:paraId="358EBE33">
            <w:pPr>
              <w:pStyle w:val="8"/>
              <w:spacing w:line="360" w:lineRule="auto"/>
              <w:ind w:left="0" w:leftChars="0"/>
              <w:rPr>
                <w:rFonts w:hint="eastAsia"/>
                <w:lang w:val="en-US" w:eastAsia="zh-CN"/>
              </w:rPr>
            </w:pPr>
            <w:r>
              <w:rPr>
                <w:rFonts w:hint="eastAsia" w:ascii="仿宋" w:hAnsi="仿宋" w:eastAsia="仿宋" w:cs="仿宋"/>
                <w:bCs/>
                <w:color w:val="000000"/>
                <w:kern w:val="0"/>
                <w:sz w:val="24"/>
                <w:szCs w:val="24"/>
                <w:lang w:val="en-US" w:eastAsia="zh-CN"/>
              </w:rPr>
              <w:t>　　　　　　　　　　　　　　　　　　　 2026年1月13日</w:t>
            </w:r>
          </w:p>
          <w:p w14:paraId="1032E161">
            <w:pPr>
              <w:adjustRightInd w:val="0"/>
              <w:snapToGrid w:val="0"/>
              <w:spacing w:after="156" w:afterLines="50" w:line="460" w:lineRule="exact"/>
              <w:rPr>
                <w:rFonts w:ascii="仿宋_GB2312" w:hAnsi="宋体" w:eastAsia="仿宋_GB2312" w:cs="仿宋_GB2312"/>
                <w:sz w:val="24"/>
                <w:szCs w:val="24"/>
              </w:rPr>
            </w:pPr>
          </w:p>
        </w:tc>
      </w:tr>
    </w:tbl>
    <w:p w14:paraId="7CB72422">
      <w:pPr>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FFE610"/>
    <w:multiLevelType w:val="singleLevel"/>
    <w:tmpl w:val="55FFE610"/>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ljMTIyMzMxMGUyZGRiNjRkMDExZjZjMjcxNWM0YmQifQ=="/>
  </w:docVars>
  <w:rsids>
    <w:rsidRoot w:val="00112C8F"/>
    <w:rsid w:val="00001DF9"/>
    <w:rsid w:val="0004006C"/>
    <w:rsid w:val="00063627"/>
    <w:rsid w:val="0006419C"/>
    <w:rsid w:val="000830C6"/>
    <w:rsid w:val="000855B6"/>
    <w:rsid w:val="00090F24"/>
    <w:rsid w:val="00090FEA"/>
    <w:rsid w:val="000C5A2C"/>
    <w:rsid w:val="000E6CEE"/>
    <w:rsid w:val="000F6B9F"/>
    <w:rsid w:val="001063B4"/>
    <w:rsid w:val="00112C8F"/>
    <w:rsid w:val="001501D8"/>
    <w:rsid w:val="00150A40"/>
    <w:rsid w:val="00173903"/>
    <w:rsid w:val="00176569"/>
    <w:rsid w:val="0018522B"/>
    <w:rsid w:val="0019387C"/>
    <w:rsid w:val="001A341F"/>
    <w:rsid w:val="001B367A"/>
    <w:rsid w:val="001D029C"/>
    <w:rsid w:val="001E76E2"/>
    <w:rsid w:val="001F2293"/>
    <w:rsid w:val="00204FA8"/>
    <w:rsid w:val="002469E6"/>
    <w:rsid w:val="00252989"/>
    <w:rsid w:val="00282C1F"/>
    <w:rsid w:val="002A2816"/>
    <w:rsid w:val="002A3C4E"/>
    <w:rsid w:val="002D0903"/>
    <w:rsid w:val="002E0AD3"/>
    <w:rsid w:val="002E2E46"/>
    <w:rsid w:val="002E31D6"/>
    <w:rsid w:val="002E6B5B"/>
    <w:rsid w:val="002F3D8F"/>
    <w:rsid w:val="002F5FFA"/>
    <w:rsid w:val="00301352"/>
    <w:rsid w:val="00304AAC"/>
    <w:rsid w:val="00305892"/>
    <w:rsid w:val="003079C5"/>
    <w:rsid w:val="00314264"/>
    <w:rsid w:val="0031577B"/>
    <w:rsid w:val="00317C09"/>
    <w:rsid w:val="00334153"/>
    <w:rsid w:val="00345FC1"/>
    <w:rsid w:val="00356F7A"/>
    <w:rsid w:val="0036586F"/>
    <w:rsid w:val="00387EB7"/>
    <w:rsid w:val="00391A7E"/>
    <w:rsid w:val="0039436D"/>
    <w:rsid w:val="0039609F"/>
    <w:rsid w:val="003A485C"/>
    <w:rsid w:val="003B079B"/>
    <w:rsid w:val="003B68E8"/>
    <w:rsid w:val="003B6973"/>
    <w:rsid w:val="003C5633"/>
    <w:rsid w:val="003D04F1"/>
    <w:rsid w:val="003E6498"/>
    <w:rsid w:val="003E7FF1"/>
    <w:rsid w:val="00406993"/>
    <w:rsid w:val="004516B9"/>
    <w:rsid w:val="004623AA"/>
    <w:rsid w:val="00465A9E"/>
    <w:rsid w:val="004670AC"/>
    <w:rsid w:val="0047081E"/>
    <w:rsid w:val="00476BD0"/>
    <w:rsid w:val="004D095E"/>
    <w:rsid w:val="004D30EB"/>
    <w:rsid w:val="004D3AF6"/>
    <w:rsid w:val="004D4D96"/>
    <w:rsid w:val="004F1058"/>
    <w:rsid w:val="00500B94"/>
    <w:rsid w:val="0052527F"/>
    <w:rsid w:val="0052537F"/>
    <w:rsid w:val="0054785F"/>
    <w:rsid w:val="00565C16"/>
    <w:rsid w:val="00571302"/>
    <w:rsid w:val="00586E08"/>
    <w:rsid w:val="00594E6B"/>
    <w:rsid w:val="005D06DB"/>
    <w:rsid w:val="005E2215"/>
    <w:rsid w:val="00601349"/>
    <w:rsid w:val="0062248A"/>
    <w:rsid w:val="00623300"/>
    <w:rsid w:val="006373F3"/>
    <w:rsid w:val="00640A33"/>
    <w:rsid w:val="0064146B"/>
    <w:rsid w:val="00667073"/>
    <w:rsid w:val="006758B1"/>
    <w:rsid w:val="00682404"/>
    <w:rsid w:val="006A1552"/>
    <w:rsid w:val="006C4D4E"/>
    <w:rsid w:val="006C6A57"/>
    <w:rsid w:val="006D0691"/>
    <w:rsid w:val="006D70F1"/>
    <w:rsid w:val="006E1AAA"/>
    <w:rsid w:val="006E7BA0"/>
    <w:rsid w:val="00706BE7"/>
    <w:rsid w:val="00723E5E"/>
    <w:rsid w:val="00756EBE"/>
    <w:rsid w:val="0075762E"/>
    <w:rsid w:val="00757F65"/>
    <w:rsid w:val="00771EB9"/>
    <w:rsid w:val="00773AB7"/>
    <w:rsid w:val="00787BC1"/>
    <w:rsid w:val="00795249"/>
    <w:rsid w:val="00797C69"/>
    <w:rsid w:val="007A7B4D"/>
    <w:rsid w:val="007B7A56"/>
    <w:rsid w:val="007E46A0"/>
    <w:rsid w:val="00805681"/>
    <w:rsid w:val="00820AF9"/>
    <w:rsid w:val="00851576"/>
    <w:rsid w:val="008636E6"/>
    <w:rsid w:val="008653B8"/>
    <w:rsid w:val="008A2586"/>
    <w:rsid w:val="008A4A94"/>
    <w:rsid w:val="008B3B1D"/>
    <w:rsid w:val="008D62A0"/>
    <w:rsid w:val="008D7F79"/>
    <w:rsid w:val="008F048F"/>
    <w:rsid w:val="008F38F0"/>
    <w:rsid w:val="009007E4"/>
    <w:rsid w:val="00953BA0"/>
    <w:rsid w:val="00956A9C"/>
    <w:rsid w:val="00974CF1"/>
    <w:rsid w:val="00981CE6"/>
    <w:rsid w:val="009928A5"/>
    <w:rsid w:val="00995951"/>
    <w:rsid w:val="009A3F4B"/>
    <w:rsid w:val="009C232B"/>
    <w:rsid w:val="009D119F"/>
    <w:rsid w:val="009D18B3"/>
    <w:rsid w:val="009D38B6"/>
    <w:rsid w:val="009F5802"/>
    <w:rsid w:val="00A14235"/>
    <w:rsid w:val="00A325FD"/>
    <w:rsid w:val="00A34F10"/>
    <w:rsid w:val="00A40A57"/>
    <w:rsid w:val="00A563B0"/>
    <w:rsid w:val="00A60C4E"/>
    <w:rsid w:val="00A64F11"/>
    <w:rsid w:val="00A77C03"/>
    <w:rsid w:val="00A82C2F"/>
    <w:rsid w:val="00AE5CAC"/>
    <w:rsid w:val="00AF5F72"/>
    <w:rsid w:val="00B266B7"/>
    <w:rsid w:val="00B31352"/>
    <w:rsid w:val="00B334AB"/>
    <w:rsid w:val="00B6619F"/>
    <w:rsid w:val="00B76A96"/>
    <w:rsid w:val="00B87E59"/>
    <w:rsid w:val="00BA69E5"/>
    <w:rsid w:val="00BB084E"/>
    <w:rsid w:val="00BB7565"/>
    <w:rsid w:val="00BD0C5D"/>
    <w:rsid w:val="00BE1927"/>
    <w:rsid w:val="00C0623A"/>
    <w:rsid w:val="00C15D88"/>
    <w:rsid w:val="00C2226A"/>
    <w:rsid w:val="00C27E45"/>
    <w:rsid w:val="00C46E47"/>
    <w:rsid w:val="00C52542"/>
    <w:rsid w:val="00C57326"/>
    <w:rsid w:val="00C76448"/>
    <w:rsid w:val="00C82A85"/>
    <w:rsid w:val="00CA3189"/>
    <w:rsid w:val="00CA621A"/>
    <w:rsid w:val="00CA6881"/>
    <w:rsid w:val="00CB6BDA"/>
    <w:rsid w:val="00CC178F"/>
    <w:rsid w:val="00CC1851"/>
    <w:rsid w:val="00CD47FD"/>
    <w:rsid w:val="00D1571A"/>
    <w:rsid w:val="00D16084"/>
    <w:rsid w:val="00D20515"/>
    <w:rsid w:val="00D23395"/>
    <w:rsid w:val="00D25A7C"/>
    <w:rsid w:val="00D32D26"/>
    <w:rsid w:val="00D3535B"/>
    <w:rsid w:val="00D365FB"/>
    <w:rsid w:val="00D422CF"/>
    <w:rsid w:val="00D71FAE"/>
    <w:rsid w:val="00D72EA7"/>
    <w:rsid w:val="00D86234"/>
    <w:rsid w:val="00D9013E"/>
    <w:rsid w:val="00DC67F0"/>
    <w:rsid w:val="00DC74FC"/>
    <w:rsid w:val="00E20DB2"/>
    <w:rsid w:val="00E216E0"/>
    <w:rsid w:val="00E24B0B"/>
    <w:rsid w:val="00E25D6A"/>
    <w:rsid w:val="00E26319"/>
    <w:rsid w:val="00E440C7"/>
    <w:rsid w:val="00E77D7E"/>
    <w:rsid w:val="00E82067"/>
    <w:rsid w:val="00EB4404"/>
    <w:rsid w:val="00EC3554"/>
    <w:rsid w:val="00ED0D7D"/>
    <w:rsid w:val="00EE3EF3"/>
    <w:rsid w:val="00F150DB"/>
    <w:rsid w:val="00F157A5"/>
    <w:rsid w:val="00F1585F"/>
    <w:rsid w:val="00F24E5D"/>
    <w:rsid w:val="00F36A9C"/>
    <w:rsid w:val="00F45FC6"/>
    <w:rsid w:val="00F52AA7"/>
    <w:rsid w:val="00F57E55"/>
    <w:rsid w:val="00F85D49"/>
    <w:rsid w:val="00F904D6"/>
    <w:rsid w:val="00FC4CD7"/>
    <w:rsid w:val="00FC5DFB"/>
    <w:rsid w:val="00FD1695"/>
    <w:rsid w:val="00FD7F0E"/>
    <w:rsid w:val="00FE5FEF"/>
    <w:rsid w:val="00FF26F3"/>
    <w:rsid w:val="00FF46FD"/>
    <w:rsid w:val="04C029E0"/>
    <w:rsid w:val="04DC1EF2"/>
    <w:rsid w:val="053B473F"/>
    <w:rsid w:val="05E52296"/>
    <w:rsid w:val="05EE186A"/>
    <w:rsid w:val="061A5470"/>
    <w:rsid w:val="067C181C"/>
    <w:rsid w:val="092D150A"/>
    <w:rsid w:val="098C3C3A"/>
    <w:rsid w:val="09B209F0"/>
    <w:rsid w:val="0ABB1C24"/>
    <w:rsid w:val="0BBE2D2C"/>
    <w:rsid w:val="0C4946EB"/>
    <w:rsid w:val="0C50326D"/>
    <w:rsid w:val="0C645D51"/>
    <w:rsid w:val="0CED4CDD"/>
    <w:rsid w:val="0D1A5887"/>
    <w:rsid w:val="0D1F0433"/>
    <w:rsid w:val="0D840443"/>
    <w:rsid w:val="0DFB60E9"/>
    <w:rsid w:val="0E272D67"/>
    <w:rsid w:val="10D57237"/>
    <w:rsid w:val="11867196"/>
    <w:rsid w:val="128A4406"/>
    <w:rsid w:val="12FF50B9"/>
    <w:rsid w:val="133B3428"/>
    <w:rsid w:val="140769B8"/>
    <w:rsid w:val="148E35B7"/>
    <w:rsid w:val="14BB5A30"/>
    <w:rsid w:val="1593088D"/>
    <w:rsid w:val="1637368C"/>
    <w:rsid w:val="16702A6B"/>
    <w:rsid w:val="16900BDF"/>
    <w:rsid w:val="1707342C"/>
    <w:rsid w:val="17233A58"/>
    <w:rsid w:val="17FB4D7D"/>
    <w:rsid w:val="19023E66"/>
    <w:rsid w:val="19E105F6"/>
    <w:rsid w:val="1A9812DD"/>
    <w:rsid w:val="1AA24CA5"/>
    <w:rsid w:val="1ADD2AD6"/>
    <w:rsid w:val="1AED3D58"/>
    <w:rsid w:val="1B033691"/>
    <w:rsid w:val="1B891AFF"/>
    <w:rsid w:val="1B8A1D96"/>
    <w:rsid w:val="1B8D2DF3"/>
    <w:rsid w:val="1C593783"/>
    <w:rsid w:val="1E33066D"/>
    <w:rsid w:val="1F4A5EE0"/>
    <w:rsid w:val="2012571E"/>
    <w:rsid w:val="2031129D"/>
    <w:rsid w:val="20CA68AC"/>
    <w:rsid w:val="215A596C"/>
    <w:rsid w:val="21AC79DB"/>
    <w:rsid w:val="220258AD"/>
    <w:rsid w:val="228D3CFF"/>
    <w:rsid w:val="22A02920"/>
    <w:rsid w:val="22E27190"/>
    <w:rsid w:val="23D05D82"/>
    <w:rsid w:val="24AA3EE3"/>
    <w:rsid w:val="25091801"/>
    <w:rsid w:val="25D62C32"/>
    <w:rsid w:val="25DE244C"/>
    <w:rsid w:val="283E654F"/>
    <w:rsid w:val="286D6C1B"/>
    <w:rsid w:val="295750F7"/>
    <w:rsid w:val="2A072863"/>
    <w:rsid w:val="2A141AF7"/>
    <w:rsid w:val="2AC1452B"/>
    <w:rsid w:val="2AF45369"/>
    <w:rsid w:val="2B4B1DD3"/>
    <w:rsid w:val="2B8466D5"/>
    <w:rsid w:val="2B85488A"/>
    <w:rsid w:val="2B874F53"/>
    <w:rsid w:val="2B907F24"/>
    <w:rsid w:val="2BC74EA2"/>
    <w:rsid w:val="2BCD7779"/>
    <w:rsid w:val="2BD66954"/>
    <w:rsid w:val="2CBA0563"/>
    <w:rsid w:val="2F81249E"/>
    <w:rsid w:val="2FF0678C"/>
    <w:rsid w:val="3000321C"/>
    <w:rsid w:val="306D7B74"/>
    <w:rsid w:val="3184338A"/>
    <w:rsid w:val="327F6416"/>
    <w:rsid w:val="33D20DA7"/>
    <w:rsid w:val="34097870"/>
    <w:rsid w:val="346C2A8B"/>
    <w:rsid w:val="355D6EC5"/>
    <w:rsid w:val="361E5BAA"/>
    <w:rsid w:val="36B61189"/>
    <w:rsid w:val="37E3104B"/>
    <w:rsid w:val="39287B24"/>
    <w:rsid w:val="396C52DB"/>
    <w:rsid w:val="397270A9"/>
    <w:rsid w:val="3AC93A79"/>
    <w:rsid w:val="3B837541"/>
    <w:rsid w:val="3B9731ED"/>
    <w:rsid w:val="3BD2377E"/>
    <w:rsid w:val="3C251A9E"/>
    <w:rsid w:val="3C7C73A2"/>
    <w:rsid w:val="3D335867"/>
    <w:rsid w:val="3E100FE9"/>
    <w:rsid w:val="3E224498"/>
    <w:rsid w:val="3E79520D"/>
    <w:rsid w:val="3EE00C55"/>
    <w:rsid w:val="3F2358EC"/>
    <w:rsid w:val="40C75BC4"/>
    <w:rsid w:val="419B03CF"/>
    <w:rsid w:val="42D00689"/>
    <w:rsid w:val="42FD0ED1"/>
    <w:rsid w:val="433A7B88"/>
    <w:rsid w:val="43627A99"/>
    <w:rsid w:val="45147A54"/>
    <w:rsid w:val="452277C9"/>
    <w:rsid w:val="45652580"/>
    <w:rsid w:val="46175D49"/>
    <w:rsid w:val="46C6492B"/>
    <w:rsid w:val="47B94332"/>
    <w:rsid w:val="487241A5"/>
    <w:rsid w:val="4A7370AD"/>
    <w:rsid w:val="4A9F4604"/>
    <w:rsid w:val="4BB8688C"/>
    <w:rsid w:val="4CB63C9F"/>
    <w:rsid w:val="4CF20952"/>
    <w:rsid w:val="4F2024AF"/>
    <w:rsid w:val="4F273578"/>
    <w:rsid w:val="50E05F3B"/>
    <w:rsid w:val="517D4E03"/>
    <w:rsid w:val="552C764F"/>
    <w:rsid w:val="55774F00"/>
    <w:rsid w:val="5703704B"/>
    <w:rsid w:val="576A1843"/>
    <w:rsid w:val="583325A9"/>
    <w:rsid w:val="59393221"/>
    <w:rsid w:val="596402EC"/>
    <w:rsid w:val="59F91D02"/>
    <w:rsid w:val="5A57506B"/>
    <w:rsid w:val="5A8104B1"/>
    <w:rsid w:val="5C4E3F8D"/>
    <w:rsid w:val="5D4379D3"/>
    <w:rsid w:val="5D4656C7"/>
    <w:rsid w:val="5D850D8A"/>
    <w:rsid w:val="5EAF7415"/>
    <w:rsid w:val="5ED14F7F"/>
    <w:rsid w:val="5F7A5EEA"/>
    <w:rsid w:val="603E3613"/>
    <w:rsid w:val="60E570C2"/>
    <w:rsid w:val="619D10D3"/>
    <w:rsid w:val="61D330CD"/>
    <w:rsid w:val="62351C11"/>
    <w:rsid w:val="632A349F"/>
    <w:rsid w:val="63534CE1"/>
    <w:rsid w:val="63835F4D"/>
    <w:rsid w:val="646163CA"/>
    <w:rsid w:val="655757D4"/>
    <w:rsid w:val="65E26648"/>
    <w:rsid w:val="66010CEC"/>
    <w:rsid w:val="672C55DE"/>
    <w:rsid w:val="68247F41"/>
    <w:rsid w:val="68262FDF"/>
    <w:rsid w:val="68446AB2"/>
    <w:rsid w:val="68541290"/>
    <w:rsid w:val="6A70454E"/>
    <w:rsid w:val="6ABF6730"/>
    <w:rsid w:val="6ACD578F"/>
    <w:rsid w:val="6B4B5EBE"/>
    <w:rsid w:val="6BE2228B"/>
    <w:rsid w:val="6CAD71C1"/>
    <w:rsid w:val="6D0B2A88"/>
    <w:rsid w:val="6D316241"/>
    <w:rsid w:val="6E55108E"/>
    <w:rsid w:val="6EF31975"/>
    <w:rsid w:val="70882D25"/>
    <w:rsid w:val="70C745CA"/>
    <w:rsid w:val="717405E0"/>
    <w:rsid w:val="72E434AB"/>
    <w:rsid w:val="73A227A8"/>
    <w:rsid w:val="7420046B"/>
    <w:rsid w:val="74304839"/>
    <w:rsid w:val="74641398"/>
    <w:rsid w:val="7529663A"/>
    <w:rsid w:val="76BA644F"/>
    <w:rsid w:val="78374484"/>
    <w:rsid w:val="789F40B6"/>
    <w:rsid w:val="7B047904"/>
    <w:rsid w:val="7B40355C"/>
    <w:rsid w:val="7C3D3992"/>
    <w:rsid w:val="7D7D0278"/>
    <w:rsid w:val="7DB16355"/>
    <w:rsid w:val="7E4C05EC"/>
    <w:rsid w:val="7E822FF1"/>
    <w:rsid w:val="7ECD36F3"/>
    <w:rsid w:val="7F9B0B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21"/>
    <w:qFormat/>
    <w:uiPriority w:val="0"/>
    <w:pPr>
      <w:tabs>
        <w:tab w:val="left" w:pos="280"/>
      </w:tabs>
      <w:spacing w:line="312" w:lineRule="auto"/>
      <w:ind w:firstLine="200" w:firstLineChars="200"/>
    </w:pPr>
    <w:rPr>
      <w:rFonts w:ascii="Times New Roman" w:hAnsi="Times New Roman" w:eastAsia="宋体" w:cs="Times New Roman"/>
      <w:sz w:val="28"/>
      <w:szCs w:val="20"/>
    </w:rPr>
  </w:style>
  <w:style w:type="paragraph" w:styleId="3">
    <w:name w:val="Body Text"/>
    <w:basedOn w:val="1"/>
    <w:next w:val="4"/>
    <w:link w:val="18"/>
    <w:qFormat/>
    <w:uiPriority w:val="0"/>
    <w:pPr>
      <w:spacing w:line="500" w:lineRule="exact"/>
    </w:pPr>
    <w:rPr>
      <w:rFonts w:ascii="Times New Roman" w:hAnsi="Times New Roman" w:eastAsia="宋体" w:cs="Times New Roman"/>
      <w:sz w:val="28"/>
      <w:szCs w:val="20"/>
    </w:rPr>
  </w:style>
  <w:style w:type="paragraph" w:styleId="4">
    <w:name w:val="toc 1"/>
    <w:basedOn w:val="1"/>
    <w:next w:val="1"/>
    <w:semiHidden/>
    <w:unhideWhenUsed/>
    <w:qFormat/>
    <w:uiPriority w:val="39"/>
  </w:style>
  <w:style w:type="paragraph" w:styleId="5">
    <w:name w:val="Body Text Indent 2"/>
    <w:basedOn w:val="1"/>
    <w:link w:val="20"/>
    <w:unhideWhenUsed/>
    <w:qFormat/>
    <w:uiPriority w:val="99"/>
    <w:pPr>
      <w:spacing w:after="120" w:line="480" w:lineRule="auto"/>
      <w:ind w:left="420" w:leftChars="200"/>
    </w:pPr>
  </w:style>
  <w:style w:type="paragraph" w:styleId="6">
    <w:name w:val="footer"/>
    <w:basedOn w:val="1"/>
    <w:link w:val="14"/>
    <w:semiHidden/>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basedOn w:val="1"/>
    <w:next w:val="1"/>
    <w:qFormat/>
    <w:uiPriority w:val="0"/>
    <w:pPr>
      <w:spacing w:line="324" w:lineRule="auto"/>
      <w:ind w:left="200" w:leftChars="200" w:firstLine="573"/>
    </w:pPr>
    <w:rPr>
      <w:sz w:val="28"/>
      <w:szCs w:val="24"/>
    </w:rPr>
  </w:style>
  <w:style w:type="paragraph" w:styleId="9">
    <w:name w:val="Normal (Web)"/>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Times New Roman"/>
      <w:kern w:val="0"/>
      <w:sz w:val="24"/>
      <w:szCs w:val="20"/>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7"/>
    <w:semiHidden/>
    <w:qFormat/>
    <w:uiPriority w:val="99"/>
    <w:rPr>
      <w:sz w:val="18"/>
      <w:szCs w:val="18"/>
    </w:rPr>
  </w:style>
  <w:style w:type="character" w:customStyle="1" w:styleId="14">
    <w:name w:val="页脚 字符"/>
    <w:basedOn w:val="12"/>
    <w:link w:val="6"/>
    <w:semiHidden/>
    <w:qFormat/>
    <w:uiPriority w:val="99"/>
    <w:rPr>
      <w:sz w:val="18"/>
      <w:szCs w:val="18"/>
    </w:rPr>
  </w:style>
  <w:style w:type="paragraph" w:styleId="15">
    <w:name w:val="List Paragraph"/>
    <w:basedOn w:val="1"/>
    <w:unhideWhenUsed/>
    <w:qFormat/>
    <w:uiPriority w:val="99"/>
    <w:pPr>
      <w:ind w:firstLine="420" w:firstLineChars="200"/>
    </w:pPr>
  </w:style>
  <w:style w:type="character" w:customStyle="1" w:styleId="16">
    <w:name w:val="font51"/>
    <w:qFormat/>
    <w:uiPriority w:val="0"/>
    <w:rPr>
      <w:rFonts w:hint="eastAsia" w:ascii="宋体" w:hAnsi="宋体" w:eastAsia="宋体" w:cs="宋体"/>
      <w:color w:val="000000"/>
      <w:sz w:val="21"/>
      <w:szCs w:val="21"/>
      <w:u w:val="none"/>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8">
    <w:name w:val="正文文本 字符"/>
    <w:link w:val="3"/>
    <w:qFormat/>
    <w:uiPriority w:val="0"/>
    <w:rPr>
      <w:kern w:val="2"/>
      <w:sz w:val="28"/>
    </w:rPr>
  </w:style>
  <w:style w:type="character" w:customStyle="1" w:styleId="19">
    <w:name w:val="正文文本 Char1"/>
    <w:basedOn w:val="12"/>
    <w:semiHidden/>
    <w:qFormat/>
    <w:uiPriority w:val="99"/>
    <w:rPr>
      <w:rFonts w:asciiTheme="minorHAnsi" w:hAnsiTheme="minorHAnsi" w:eastAsiaTheme="minorEastAsia" w:cstheme="minorBidi"/>
      <w:kern w:val="2"/>
      <w:sz w:val="21"/>
      <w:szCs w:val="22"/>
    </w:rPr>
  </w:style>
  <w:style w:type="character" w:customStyle="1" w:styleId="20">
    <w:name w:val="正文文本缩进 2 字符"/>
    <w:basedOn w:val="12"/>
    <w:link w:val="5"/>
    <w:qFormat/>
    <w:uiPriority w:val="99"/>
    <w:rPr>
      <w:rFonts w:asciiTheme="minorHAnsi" w:hAnsiTheme="minorHAnsi" w:eastAsiaTheme="minorEastAsia" w:cstheme="minorBidi"/>
      <w:kern w:val="2"/>
      <w:sz w:val="21"/>
      <w:szCs w:val="22"/>
    </w:rPr>
  </w:style>
  <w:style w:type="character" w:customStyle="1" w:styleId="21">
    <w:name w:val="正文缩进 字符"/>
    <w:link w:val="2"/>
    <w:qFormat/>
    <w:uiPriority w:val="0"/>
    <w:rPr>
      <w:kern w:val="2"/>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1">
      <a:dk1>
        <a:sysClr val="windowText" lastClr="000000"/>
      </a:dk1>
      <a:lt1>
        <a:srgbClr val="C3D69B"/>
      </a:lt1>
      <a:dk2>
        <a:srgbClr val="1F497D"/>
      </a:dk2>
      <a:lt2>
        <a:srgbClr val="92D050"/>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8F49336E-0E0C-4B90-8DA0-5E27F5998060}">
  <ds:schemaRefs/>
</ds:datastoreItem>
</file>

<file path=customXml/itemProps2.xml><?xml version="1.0" encoding="utf-8"?>
<ds:datastoreItem xmlns:ds="http://schemas.openxmlformats.org/officeDocument/2006/customXml" ds:itemID="{9b0c485a-5a7e-42af-ab40-7c84d17653d5}">
  <ds:schemaRefs/>
</ds:datastoreItem>
</file>

<file path=docProps/app.xml><?xml version="1.0" encoding="utf-8"?>
<Properties xmlns="http://schemas.openxmlformats.org/officeDocument/2006/extended-properties" xmlns:vt="http://schemas.openxmlformats.org/officeDocument/2006/docPropsVTypes">
  <Template>Normal</Template>
  <Pages>3</Pages>
  <Words>1614</Words>
  <Characters>1780</Characters>
  <Lines>14</Lines>
  <Paragraphs>4</Paragraphs>
  <TotalTime>47</TotalTime>
  <ScaleCrop>false</ScaleCrop>
  <LinksUpToDate>false</LinksUpToDate>
  <CharactersWithSpaces>1826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2020-02-03T01:41:00Z</dcterms:created>
  <dc:creator>dell</dc:creator>
  <cp:lastModifiedBy>W琪</cp:lastModifiedBy>
  <cp:lastPrinted>2025-12-24T03:12:00Z</cp:lastPrinted>
  <dcterms:modified xsi:type="dcterms:W3CDTF">2026-01-12T06:19:56Z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0014B919C4464513A84EEB467160E191</vt:lpwstr>
  </property>
  <property fmtid="{D5CDD505-2E9C-101B-9397-08002B2CF9AE}" pid="4" name="KSOTemplateDocerSaveRecord">
    <vt:lpwstr>eyJoZGlkIjoiMDc5MzViOWI5ODMxNmU1MjFmZjY5NjVlZTE5M2Q2YjUiLCJ1c2VySWQiOiIzNDEzNjc4NTYifQ==</vt:lpwstr>
  </property>
</Properties>
</file>