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E36C828">
      <w:pPr>
        <w:autoSpaceDE w:val="0"/>
        <w:autoSpaceDN w:val="0"/>
        <w:adjustRightInd w:val="0"/>
        <w:spacing w:line="600" w:lineRule="exact"/>
        <w:jc w:val="center"/>
        <w:rPr>
          <w:rFonts w:ascii="方正小标宋简体" w:hAnsi="Times New Roman" w:eastAsia="方正小标宋简体" w:cs="方正小标宋简体"/>
          <w:color w:val="000000"/>
          <w:sz w:val="44"/>
          <w:szCs w:val="44"/>
        </w:rPr>
      </w:pPr>
      <w:r>
        <w:rPr>
          <w:rFonts w:hint="eastAsia" w:ascii="方正小标宋简体" w:hAnsi="Times New Roman" w:eastAsia="方正小标宋简体" w:cs="方正小标宋简体"/>
          <w:color w:val="000000"/>
          <w:sz w:val="44"/>
          <w:szCs w:val="44"/>
        </w:rPr>
        <w:t>吉林省建设项目环境影响评价文件</w:t>
      </w:r>
    </w:p>
    <w:p w14:paraId="611EF5B7">
      <w:pPr>
        <w:autoSpaceDE w:val="0"/>
        <w:autoSpaceDN w:val="0"/>
        <w:adjustRightInd w:val="0"/>
        <w:spacing w:line="600" w:lineRule="exact"/>
        <w:jc w:val="center"/>
        <w:rPr>
          <w:rFonts w:ascii="仿宋_GB2312" w:hAnsi="宋体" w:eastAsia="仿宋_GB2312"/>
          <w:color w:val="000000"/>
          <w:sz w:val="32"/>
          <w:szCs w:val="32"/>
        </w:rPr>
      </w:pPr>
      <w:r>
        <w:rPr>
          <w:rFonts w:hint="eastAsia" w:ascii="方正小标宋简体" w:hAnsi="Times New Roman" w:eastAsia="方正小标宋简体" w:cs="方正小标宋简体"/>
          <w:color w:val="000000"/>
          <w:sz w:val="44"/>
          <w:szCs w:val="44"/>
        </w:rPr>
        <w:t>告知承诺制审批表</w:t>
      </w:r>
    </w:p>
    <w:p w14:paraId="3283EE3E">
      <w:pPr>
        <w:keepNext w:val="0"/>
        <w:keepLines w:val="0"/>
        <w:pageBreakBefore w:val="0"/>
        <w:widowControl w:val="0"/>
        <w:kinsoku/>
        <w:wordWrap/>
        <w:overflowPunct/>
        <w:topLinePunct w:val="0"/>
        <w:autoSpaceDE/>
        <w:autoSpaceDN/>
        <w:bidi w:val="0"/>
        <w:adjustRightInd w:val="0"/>
        <w:snapToGrid w:val="0"/>
        <w:spacing w:line="360" w:lineRule="auto"/>
        <w:jc w:val="both"/>
        <w:textAlignment w:val="auto"/>
        <w:rPr>
          <w:rFonts w:hint="eastAsia" w:ascii="仿宋" w:hAnsi="仿宋" w:eastAsia="仿宋" w:cs="仿宋"/>
          <w:sz w:val="28"/>
          <w:szCs w:val="28"/>
          <w:lang w:val="zh-TW" w:eastAsia="zh-CN"/>
        </w:rPr>
      </w:pPr>
    </w:p>
    <w:p w14:paraId="0776E21D">
      <w:pPr>
        <w:keepNext w:val="0"/>
        <w:keepLines w:val="0"/>
        <w:pageBreakBefore w:val="0"/>
        <w:widowControl w:val="0"/>
        <w:kinsoku/>
        <w:wordWrap/>
        <w:overflowPunct/>
        <w:topLinePunct w:val="0"/>
        <w:autoSpaceDE/>
        <w:autoSpaceDN/>
        <w:bidi w:val="0"/>
        <w:adjustRightInd w:val="0"/>
        <w:snapToGrid w:val="0"/>
        <w:spacing w:line="360" w:lineRule="auto"/>
        <w:jc w:val="both"/>
        <w:textAlignment w:val="auto"/>
        <w:rPr>
          <w:rFonts w:hint="default" w:ascii="仿宋" w:hAnsi="仿宋" w:eastAsia="仿宋"/>
          <w:sz w:val="32"/>
          <w:szCs w:val="32"/>
          <w:lang w:val="en-US"/>
        </w:rPr>
      </w:pPr>
      <w:r>
        <w:rPr>
          <w:rFonts w:hint="eastAsia" w:ascii="仿宋" w:hAnsi="仿宋" w:eastAsia="仿宋" w:cs="仿宋"/>
          <w:sz w:val="28"/>
          <w:szCs w:val="28"/>
          <w:lang w:val="zh-TW" w:eastAsia="zh-CN"/>
        </w:rPr>
        <w:t>审批号：吉市（龙）环建（表）承字〔</w:t>
      </w:r>
      <w:r>
        <w:rPr>
          <w:rFonts w:hint="eastAsia" w:ascii="仿宋" w:hAnsi="仿宋" w:eastAsia="仿宋" w:cs="仿宋"/>
          <w:sz w:val="28"/>
          <w:szCs w:val="28"/>
          <w:lang w:val="en-US" w:eastAsia="zh-CN"/>
        </w:rPr>
        <w:t>2025</w:t>
      </w:r>
      <w:r>
        <w:rPr>
          <w:rFonts w:hint="eastAsia" w:ascii="仿宋" w:hAnsi="仿宋" w:eastAsia="仿宋" w:cs="仿宋"/>
          <w:sz w:val="28"/>
          <w:szCs w:val="28"/>
          <w:lang w:val="zh-TW" w:eastAsia="zh-CN"/>
        </w:rPr>
        <w:t>〕</w:t>
      </w:r>
      <w:r>
        <w:rPr>
          <w:rFonts w:hint="eastAsia" w:ascii="仿宋" w:hAnsi="仿宋" w:eastAsia="仿宋" w:cs="仿宋"/>
          <w:sz w:val="28"/>
          <w:szCs w:val="28"/>
          <w:lang w:val="en-US" w:eastAsia="zh-CN"/>
        </w:rPr>
        <w:t>2号</w:t>
      </w:r>
    </w:p>
    <w:tbl>
      <w:tblPr>
        <w:tblStyle w:val="10"/>
        <w:tblW w:w="8522"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2077"/>
        <w:gridCol w:w="2148"/>
        <w:gridCol w:w="2553"/>
        <w:gridCol w:w="1744"/>
      </w:tblGrid>
      <w:tr w14:paraId="42DA01D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077" w:type="dxa"/>
            <w:tcBorders>
              <w:top w:val="single" w:color="auto" w:sz="8" w:space="0"/>
              <w:left w:val="single" w:color="auto" w:sz="8" w:space="0"/>
              <w:bottom w:val="single" w:color="auto" w:sz="4" w:space="0"/>
              <w:right w:val="single" w:color="auto" w:sz="4" w:space="0"/>
            </w:tcBorders>
            <w:vAlign w:val="center"/>
          </w:tcPr>
          <w:p w14:paraId="4A55F1E1">
            <w:pPr>
              <w:adjustRightInd w:val="0"/>
              <w:snapToGrid w:val="0"/>
              <w:spacing w:line="480" w:lineRule="exact"/>
              <w:jc w:val="center"/>
              <w:rPr>
                <w:rFonts w:ascii="仿宋_GB2312" w:hAnsi="宋体" w:eastAsia="仿宋_GB2312" w:cs="Times New Roman"/>
                <w:sz w:val="24"/>
                <w:szCs w:val="24"/>
              </w:rPr>
            </w:pPr>
            <w:r>
              <w:rPr>
                <w:rFonts w:hint="eastAsia" w:ascii="仿宋_GB2312" w:hAnsi="宋体" w:eastAsia="仿宋_GB2312"/>
                <w:sz w:val="24"/>
                <w:szCs w:val="24"/>
              </w:rPr>
              <w:t>项目名称</w:t>
            </w:r>
          </w:p>
        </w:tc>
        <w:tc>
          <w:tcPr>
            <w:tcW w:w="6445" w:type="dxa"/>
            <w:gridSpan w:val="3"/>
            <w:tcBorders>
              <w:top w:val="single" w:color="auto" w:sz="8" w:space="0"/>
              <w:left w:val="single" w:color="auto" w:sz="4" w:space="0"/>
              <w:bottom w:val="single" w:color="auto" w:sz="4" w:space="0"/>
              <w:right w:val="single" w:color="auto" w:sz="8" w:space="0"/>
            </w:tcBorders>
            <w:vAlign w:val="center"/>
          </w:tcPr>
          <w:p w14:paraId="399ABACF">
            <w:pPr>
              <w:adjustRightInd w:val="0"/>
              <w:snapToGrid w:val="0"/>
              <w:spacing w:line="480" w:lineRule="exact"/>
              <w:jc w:val="center"/>
              <w:rPr>
                <w:rFonts w:hint="eastAsia" w:ascii="仿宋_GB2312" w:hAnsi="宋体" w:eastAsia="仿宋_GB2312"/>
                <w:sz w:val="24"/>
                <w:szCs w:val="24"/>
              </w:rPr>
            </w:pPr>
            <w:r>
              <w:rPr>
                <w:rFonts w:hint="eastAsia" w:ascii="仿宋_GB2312" w:hAnsi="宋体" w:eastAsia="仿宋_GB2312"/>
                <w:sz w:val="24"/>
                <w:szCs w:val="24"/>
                <w:lang w:val="en-US" w:eastAsia="zh-CN"/>
              </w:rPr>
              <w:t>吉林市圣赢碳纤维制品科技有限公司年产10000吨PETS乳液助剂项目</w:t>
            </w:r>
          </w:p>
        </w:tc>
      </w:tr>
      <w:tr w14:paraId="1BFD80F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4" w:hRule="atLeast"/>
          <w:jc w:val="center"/>
        </w:trPr>
        <w:tc>
          <w:tcPr>
            <w:tcW w:w="2077" w:type="dxa"/>
            <w:tcBorders>
              <w:top w:val="single" w:color="auto" w:sz="4" w:space="0"/>
              <w:left w:val="single" w:color="auto" w:sz="8" w:space="0"/>
              <w:bottom w:val="single" w:color="auto" w:sz="4" w:space="0"/>
              <w:right w:val="single" w:color="auto" w:sz="4" w:space="0"/>
            </w:tcBorders>
            <w:vAlign w:val="center"/>
          </w:tcPr>
          <w:p w14:paraId="61858D8E">
            <w:pPr>
              <w:adjustRightInd w:val="0"/>
              <w:snapToGrid w:val="0"/>
              <w:spacing w:line="480" w:lineRule="exact"/>
              <w:jc w:val="center"/>
              <w:rPr>
                <w:rFonts w:ascii="仿宋_GB2312" w:hAnsi="宋体" w:eastAsia="仿宋_GB2312" w:cs="Times New Roman"/>
                <w:sz w:val="24"/>
                <w:szCs w:val="24"/>
              </w:rPr>
            </w:pPr>
            <w:r>
              <w:rPr>
                <w:rFonts w:hint="eastAsia" w:ascii="仿宋_GB2312" w:hAnsi="宋体" w:eastAsia="仿宋_GB2312"/>
                <w:sz w:val="24"/>
                <w:szCs w:val="24"/>
              </w:rPr>
              <w:t>建设地点</w:t>
            </w:r>
          </w:p>
        </w:tc>
        <w:tc>
          <w:tcPr>
            <w:tcW w:w="2148" w:type="dxa"/>
            <w:tcBorders>
              <w:top w:val="single" w:color="auto" w:sz="4" w:space="0"/>
              <w:left w:val="single" w:color="auto" w:sz="4" w:space="0"/>
              <w:bottom w:val="single" w:color="auto" w:sz="4" w:space="0"/>
              <w:right w:val="single" w:color="auto" w:sz="4" w:space="0"/>
            </w:tcBorders>
            <w:vAlign w:val="center"/>
          </w:tcPr>
          <w:p w14:paraId="71E7A7D1">
            <w:pPr>
              <w:adjustRightInd w:val="0"/>
              <w:snapToGrid w:val="0"/>
              <w:spacing w:line="240" w:lineRule="auto"/>
              <w:jc w:val="center"/>
              <w:rPr>
                <w:rFonts w:hint="eastAsia" w:ascii="仿宋_GB2312" w:hAnsi="宋体" w:eastAsia="仿宋_GB2312"/>
                <w:sz w:val="24"/>
                <w:szCs w:val="24"/>
              </w:rPr>
            </w:pPr>
            <w:r>
              <w:rPr>
                <w:rFonts w:hint="eastAsia" w:ascii="仿宋_GB2312" w:hAnsi="宋体" w:eastAsia="仿宋_GB2312"/>
                <w:sz w:val="24"/>
                <w:szCs w:val="24"/>
              </w:rPr>
              <w:t>吉林省吉林市龙潭区星光路16号</w:t>
            </w:r>
          </w:p>
        </w:tc>
        <w:tc>
          <w:tcPr>
            <w:tcW w:w="2553" w:type="dxa"/>
            <w:tcBorders>
              <w:top w:val="single" w:color="auto" w:sz="4" w:space="0"/>
              <w:left w:val="single" w:color="auto" w:sz="4" w:space="0"/>
              <w:bottom w:val="single" w:color="auto" w:sz="4" w:space="0"/>
              <w:right w:val="single" w:color="auto" w:sz="4" w:space="0"/>
            </w:tcBorders>
            <w:vAlign w:val="center"/>
          </w:tcPr>
          <w:p w14:paraId="249EEBD6">
            <w:pPr>
              <w:adjustRightInd w:val="0"/>
              <w:snapToGrid w:val="0"/>
              <w:spacing w:line="480" w:lineRule="exact"/>
              <w:jc w:val="center"/>
              <w:rPr>
                <w:rFonts w:hint="eastAsia" w:ascii="仿宋_GB2312" w:hAnsi="宋体" w:eastAsia="仿宋_GB2312"/>
                <w:sz w:val="24"/>
                <w:szCs w:val="24"/>
              </w:rPr>
            </w:pPr>
            <w:r>
              <w:rPr>
                <w:rFonts w:hint="eastAsia" w:ascii="仿宋_GB2312" w:hAnsi="宋体" w:eastAsia="仿宋_GB2312"/>
                <w:sz w:val="24"/>
                <w:szCs w:val="24"/>
              </w:rPr>
              <w:t>占地（建筑、营业）面积（m</w:t>
            </w:r>
            <w:r>
              <w:rPr>
                <w:rFonts w:hint="eastAsia" w:ascii="仿宋_GB2312" w:hAnsi="宋体" w:eastAsia="仿宋_GB2312"/>
                <w:sz w:val="24"/>
                <w:szCs w:val="24"/>
                <w:vertAlign w:val="superscript"/>
              </w:rPr>
              <w:t>2</w:t>
            </w:r>
            <w:r>
              <w:rPr>
                <w:rFonts w:hint="eastAsia" w:ascii="仿宋_GB2312" w:hAnsi="宋体" w:eastAsia="仿宋_GB2312"/>
                <w:sz w:val="24"/>
                <w:szCs w:val="24"/>
              </w:rPr>
              <w:t>）</w:t>
            </w:r>
          </w:p>
        </w:tc>
        <w:tc>
          <w:tcPr>
            <w:tcW w:w="1744" w:type="dxa"/>
            <w:tcBorders>
              <w:top w:val="single" w:color="auto" w:sz="4" w:space="0"/>
              <w:left w:val="single" w:color="auto" w:sz="4" w:space="0"/>
              <w:bottom w:val="single" w:color="auto" w:sz="4" w:space="0"/>
              <w:right w:val="single" w:color="auto" w:sz="8" w:space="0"/>
            </w:tcBorders>
            <w:vAlign w:val="center"/>
          </w:tcPr>
          <w:p w14:paraId="5761E981">
            <w:pPr>
              <w:adjustRightInd w:val="0"/>
              <w:snapToGrid w:val="0"/>
              <w:spacing w:line="480" w:lineRule="exact"/>
              <w:jc w:val="center"/>
              <w:rPr>
                <w:rFonts w:hint="default" w:ascii="仿宋_GB2312" w:hAnsi="宋体" w:eastAsia="仿宋_GB2312"/>
                <w:sz w:val="24"/>
                <w:szCs w:val="24"/>
                <w:lang w:val="en-US" w:eastAsia="zh-CN"/>
              </w:rPr>
            </w:pPr>
            <w:r>
              <w:rPr>
                <w:rFonts w:hint="eastAsia" w:ascii="仿宋_GB2312" w:hAnsi="宋体" w:eastAsia="仿宋_GB2312"/>
                <w:sz w:val="24"/>
                <w:szCs w:val="24"/>
                <w:lang w:val="en-US" w:eastAsia="zh-CN"/>
              </w:rPr>
              <w:t>不新增占地</w:t>
            </w:r>
          </w:p>
        </w:tc>
      </w:tr>
      <w:tr w14:paraId="18FDAF7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2077" w:type="dxa"/>
            <w:tcBorders>
              <w:top w:val="single" w:color="auto" w:sz="4" w:space="0"/>
              <w:left w:val="single" w:color="auto" w:sz="8" w:space="0"/>
              <w:bottom w:val="single" w:color="auto" w:sz="4" w:space="0"/>
              <w:right w:val="single" w:color="auto" w:sz="4" w:space="0"/>
            </w:tcBorders>
            <w:vAlign w:val="center"/>
          </w:tcPr>
          <w:p w14:paraId="5FE01C67">
            <w:pPr>
              <w:adjustRightInd w:val="0"/>
              <w:snapToGrid w:val="0"/>
              <w:spacing w:line="480" w:lineRule="exact"/>
              <w:jc w:val="center"/>
              <w:rPr>
                <w:rFonts w:ascii="仿宋_GB2312" w:hAnsi="宋体" w:eastAsia="仿宋_GB2312" w:cs="Times New Roman"/>
                <w:sz w:val="24"/>
                <w:szCs w:val="24"/>
              </w:rPr>
            </w:pPr>
            <w:r>
              <w:rPr>
                <w:rFonts w:hint="eastAsia" w:ascii="仿宋_GB2312" w:hAnsi="宋体" w:eastAsia="仿宋_GB2312"/>
                <w:sz w:val="24"/>
                <w:szCs w:val="24"/>
              </w:rPr>
              <w:t>建设单位</w:t>
            </w:r>
          </w:p>
        </w:tc>
        <w:tc>
          <w:tcPr>
            <w:tcW w:w="2148" w:type="dxa"/>
            <w:tcBorders>
              <w:top w:val="single" w:color="auto" w:sz="4" w:space="0"/>
              <w:left w:val="single" w:color="auto" w:sz="4" w:space="0"/>
              <w:bottom w:val="single" w:color="auto" w:sz="4" w:space="0"/>
              <w:right w:val="single" w:color="auto" w:sz="4" w:space="0"/>
            </w:tcBorders>
            <w:vAlign w:val="center"/>
          </w:tcPr>
          <w:p w14:paraId="032B3EC8">
            <w:pPr>
              <w:adjustRightInd w:val="0"/>
              <w:snapToGrid w:val="0"/>
              <w:spacing w:line="240" w:lineRule="auto"/>
              <w:jc w:val="center"/>
              <w:rPr>
                <w:rFonts w:hint="eastAsia" w:ascii="仿宋_GB2312" w:hAnsi="宋体" w:eastAsia="仿宋_GB2312"/>
                <w:sz w:val="24"/>
                <w:szCs w:val="24"/>
              </w:rPr>
            </w:pPr>
            <w:r>
              <w:rPr>
                <w:rFonts w:hint="default" w:ascii="仿宋_GB2312" w:hAnsi="宋体" w:eastAsia="仿宋_GB2312"/>
                <w:sz w:val="24"/>
                <w:szCs w:val="24"/>
              </w:rPr>
              <w:t>吉林市圣赢碳纤维制品科技有限公司</w:t>
            </w:r>
          </w:p>
        </w:tc>
        <w:tc>
          <w:tcPr>
            <w:tcW w:w="2553" w:type="dxa"/>
            <w:tcBorders>
              <w:top w:val="single" w:color="auto" w:sz="4" w:space="0"/>
              <w:left w:val="single" w:color="auto" w:sz="4" w:space="0"/>
              <w:bottom w:val="single" w:color="auto" w:sz="4" w:space="0"/>
              <w:right w:val="single" w:color="auto" w:sz="4" w:space="0"/>
            </w:tcBorders>
            <w:vAlign w:val="center"/>
          </w:tcPr>
          <w:p w14:paraId="26CE4066">
            <w:pPr>
              <w:adjustRightInd w:val="0"/>
              <w:snapToGrid w:val="0"/>
              <w:spacing w:line="480" w:lineRule="exact"/>
              <w:jc w:val="center"/>
              <w:rPr>
                <w:rFonts w:hint="eastAsia" w:ascii="仿宋_GB2312" w:hAnsi="宋体" w:eastAsia="仿宋_GB2312"/>
                <w:sz w:val="24"/>
                <w:szCs w:val="24"/>
              </w:rPr>
            </w:pPr>
            <w:r>
              <w:rPr>
                <w:rFonts w:hint="eastAsia" w:ascii="仿宋_GB2312" w:hAnsi="宋体" w:eastAsia="仿宋_GB2312"/>
                <w:sz w:val="24"/>
                <w:szCs w:val="24"/>
              </w:rPr>
              <w:t>法定代表人或者</w:t>
            </w:r>
          </w:p>
          <w:p w14:paraId="195B5A60">
            <w:pPr>
              <w:adjustRightInd w:val="0"/>
              <w:snapToGrid w:val="0"/>
              <w:spacing w:line="480" w:lineRule="exact"/>
              <w:jc w:val="center"/>
              <w:rPr>
                <w:rFonts w:hint="eastAsia" w:ascii="仿宋_GB2312" w:hAnsi="宋体" w:eastAsia="仿宋_GB2312"/>
                <w:sz w:val="24"/>
                <w:szCs w:val="24"/>
              </w:rPr>
            </w:pPr>
            <w:r>
              <w:rPr>
                <w:rFonts w:hint="eastAsia" w:ascii="仿宋_GB2312" w:hAnsi="宋体" w:eastAsia="仿宋_GB2312"/>
                <w:sz w:val="24"/>
                <w:szCs w:val="24"/>
              </w:rPr>
              <w:t>主要负责人</w:t>
            </w:r>
          </w:p>
        </w:tc>
        <w:tc>
          <w:tcPr>
            <w:tcW w:w="1744" w:type="dxa"/>
            <w:tcBorders>
              <w:top w:val="single" w:color="auto" w:sz="4" w:space="0"/>
              <w:left w:val="single" w:color="auto" w:sz="4" w:space="0"/>
              <w:bottom w:val="single" w:color="auto" w:sz="4" w:space="0"/>
              <w:right w:val="single" w:color="auto" w:sz="8" w:space="0"/>
            </w:tcBorders>
            <w:vAlign w:val="center"/>
          </w:tcPr>
          <w:p w14:paraId="1A73C3A7">
            <w:pPr>
              <w:adjustRightInd w:val="0"/>
              <w:snapToGrid w:val="0"/>
              <w:spacing w:line="480" w:lineRule="exact"/>
              <w:jc w:val="center"/>
              <w:rPr>
                <w:rFonts w:hint="default" w:ascii="仿宋_GB2312" w:hAnsi="宋体" w:eastAsia="仿宋_GB2312"/>
                <w:sz w:val="24"/>
                <w:szCs w:val="24"/>
                <w:lang w:val="en-US" w:eastAsia="zh-CN"/>
              </w:rPr>
            </w:pPr>
            <w:r>
              <w:rPr>
                <w:rFonts w:hint="eastAsia" w:ascii="仿宋_GB2312" w:hAnsi="宋体" w:eastAsia="仿宋_GB2312"/>
                <w:sz w:val="24"/>
                <w:szCs w:val="24"/>
                <w:lang w:val="en-US" w:eastAsia="zh-CN"/>
              </w:rPr>
              <w:t>XXX</w:t>
            </w:r>
          </w:p>
        </w:tc>
      </w:tr>
      <w:tr w14:paraId="63E9DAF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077" w:type="dxa"/>
            <w:tcBorders>
              <w:top w:val="single" w:color="auto" w:sz="4" w:space="0"/>
              <w:left w:val="single" w:color="auto" w:sz="8" w:space="0"/>
              <w:bottom w:val="single" w:color="auto" w:sz="4" w:space="0"/>
              <w:right w:val="single" w:color="auto" w:sz="4" w:space="0"/>
            </w:tcBorders>
            <w:vAlign w:val="center"/>
          </w:tcPr>
          <w:p w14:paraId="4BA53236">
            <w:pPr>
              <w:adjustRightInd w:val="0"/>
              <w:snapToGrid w:val="0"/>
              <w:spacing w:line="480" w:lineRule="exact"/>
              <w:jc w:val="center"/>
              <w:rPr>
                <w:rFonts w:ascii="仿宋_GB2312" w:hAnsi="宋体" w:eastAsia="仿宋_GB2312" w:cs="Times New Roman"/>
                <w:sz w:val="24"/>
                <w:szCs w:val="24"/>
              </w:rPr>
            </w:pPr>
            <w:r>
              <w:rPr>
                <w:rFonts w:hint="eastAsia" w:ascii="仿宋_GB2312" w:hAnsi="宋体" w:eastAsia="仿宋_GB2312"/>
                <w:sz w:val="24"/>
                <w:szCs w:val="24"/>
              </w:rPr>
              <w:t>联系人</w:t>
            </w:r>
          </w:p>
        </w:tc>
        <w:tc>
          <w:tcPr>
            <w:tcW w:w="2148" w:type="dxa"/>
            <w:tcBorders>
              <w:top w:val="single" w:color="auto" w:sz="4" w:space="0"/>
              <w:left w:val="single" w:color="auto" w:sz="4" w:space="0"/>
              <w:bottom w:val="single" w:color="auto" w:sz="4" w:space="0"/>
              <w:right w:val="single" w:color="auto" w:sz="4" w:space="0"/>
            </w:tcBorders>
            <w:vAlign w:val="center"/>
          </w:tcPr>
          <w:p w14:paraId="6F78D33D">
            <w:pPr>
              <w:adjustRightInd w:val="0"/>
              <w:snapToGrid w:val="0"/>
              <w:spacing w:line="480" w:lineRule="exact"/>
              <w:jc w:val="center"/>
              <w:rPr>
                <w:rFonts w:hint="default" w:ascii="仿宋_GB2312" w:hAnsi="宋体" w:eastAsia="仿宋_GB2312"/>
                <w:sz w:val="24"/>
                <w:szCs w:val="24"/>
                <w:lang w:val="en-US" w:eastAsia="zh-CN"/>
              </w:rPr>
            </w:pPr>
            <w:r>
              <w:rPr>
                <w:rFonts w:hint="eastAsia" w:ascii="仿宋_GB2312" w:hAnsi="宋体" w:eastAsia="仿宋_GB2312"/>
                <w:sz w:val="24"/>
                <w:szCs w:val="24"/>
                <w:lang w:val="en-US" w:eastAsia="zh-CN"/>
              </w:rPr>
              <w:t>XX</w:t>
            </w:r>
          </w:p>
        </w:tc>
        <w:tc>
          <w:tcPr>
            <w:tcW w:w="2553" w:type="dxa"/>
            <w:tcBorders>
              <w:top w:val="single" w:color="auto" w:sz="4" w:space="0"/>
              <w:left w:val="single" w:color="auto" w:sz="4" w:space="0"/>
              <w:bottom w:val="single" w:color="auto" w:sz="4" w:space="0"/>
              <w:right w:val="single" w:color="auto" w:sz="4" w:space="0"/>
            </w:tcBorders>
            <w:vAlign w:val="center"/>
          </w:tcPr>
          <w:p w14:paraId="205C8D5B">
            <w:pPr>
              <w:adjustRightInd w:val="0"/>
              <w:snapToGrid w:val="0"/>
              <w:spacing w:line="480" w:lineRule="exact"/>
              <w:jc w:val="center"/>
              <w:rPr>
                <w:rFonts w:hint="eastAsia" w:ascii="仿宋_GB2312" w:hAnsi="宋体" w:eastAsia="仿宋_GB2312"/>
                <w:sz w:val="24"/>
                <w:szCs w:val="24"/>
                <w:lang w:val="en-US" w:eastAsia="zh-CN"/>
              </w:rPr>
            </w:pPr>
            <w:r>
              <w:rPr>
                <w:rFonts w:hint="eastAsia" w:ascii="仿宋_GB2312" w:hAnsi="宋体" w:eastAsia="仿宋_GB2312"/>
                <w:sz w:val="24"/>
                <w:szCs w:val="24"/>
                <w:lang w:val="en-US" w:eastAsia="zh-CN"/>
              </w:rPr>
              <w:t>联系电话</w:t>
            </w:r>
          </w:p>
        </w:tc>
        <w:tc>
          <w:tcPr>
            <w:tcW w:w="1744" w:type="dxa"/>
            <w:tcBorders>
              <w:top w:val="single" w:color="auto" w:sz="4" w:space="0"/>
              <w:left w:val="single" w:color="auto" w:sz="4" w:space="0"/>
              <w:bottom w:val="single" w:color="auto" w:sz="4" w:space="0"/>
              <w:right w:val="single" w:color="auto" w:sz="8" w:space="0"/>
            </w:tcBorders>
            <w:vAlign w:val="center"/>
          </w:tcPr>
          <w:p w14:paraId="1C9F0E94">
            <w:pPr>
              <w:adjustRightInd w:val="0"/>
              <w:snapToGrid w:val="0"/>
              <w:spacing w:line="480" w:lineRule="exact"/>
              <w:jc w:val="center"/>
              <w:rPr>
                <w:rFonts w:hint="default" w:ascii="仿宋_GB2312" w:hAnsi="宋体" w:eastAsia="仿宋_GB2312"/>
                <w:sz w:val="24"/>
                <w:szCs w:val="24"/>
                <w:lang w:val="en-US" w:eastAsia="zh-CN"/>
              </w:rPr>
            </w:pPr>
            <w:r>
              <w:rPr>
                <w:rFonts w:hint="default" w:ascii="仿宋_GB2312" w:hAnsi="宋体" w:eastAsia="仿宋_GB2312"/>
                <w:sz w:val="24"/>
                <w:szCs w:val="24"/>
                <w:lang w:val="en-US" w:eastAsia="zh-CN"/>
              </w:rPr>
              <w:t>151</w:t>
            </w:r>
            <w:r>
              <w:rPr>
                <w:rFonts w:hint="eastAsia" w:ascii="仿宋_GB2312" w:hAnsi="宋体" w:eastAsia="仿宋_GB2312"/>
                <w:sz w:val="24"/>
                <w:szCs w:val="24"/>
                <w:lang w:val="en-US" w:eastAsia="zh-CN"/>
              </w:rPr>
              <w:t>XXXXXXXXX</w:t>
            </w:r>
            <w:bookmarkStart w:id="0" w:name="_GoBack"/>
            <w:bookmarkEnd w:id="0"/>
          </w:p>
        </w:tc>
      </w:tr>
      <w:tr w14:paraId="2987FC8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077" w:type="dxa"/>
            <w:tcBorders>
              <w:top w:val="single" w:color="auto" w:sz="4" w:space="0"/>
              <w:left w:val="single" w:color="auto" w:sz="8" w:space="0"/>
              <w:bottom w:val="single" w:color="auto" w:sz="4" w:space="0"/>
              <w:right w:val="single" w:color="auto" w:sz="4" w:space="0"/>
            </w:tcBorders>
            <w:vAlign w:val="center"/>
          </w:tcPr>
          <w:p w14:paraId="3FA19B0D">
            <w:pPr>
              <w:adjustRightInd w:val="0"/>
              <w:snapToGrid w:val="0"/>
              <w:spacing w:line="480" w:lineRule="exact"/>
              <w:jc w:val="center"/>
              <w:rPr>
                <w:rFonts w:ascii="仿宋_GB2312" w:hAnsi="宋体" w:eastAsia="仿宋_GB2312" w:cs="Times New Roman"/>
                <w:sz w:val="24"/>
                <w:szCs w:val="24"/>
              </w:rPr>
            </w:pPr>
            <w:r>
              <w:rPr>
                <w:rFonts w:hint="eastAsia" w:ascii="仿宋_GB2312" w:hAnsi="宋体" w:eastAsia="仿宋_GB2312"/>
                <w:sz w:val="24"/>
                <w:szCs w:val="24"/>
              </w:rPr>
              <w:t>项目投资</w:t>
            </w:r>
            <w:r>
              <w:rPr>
                <w:rFonts w:hint="eastAsia" w:ascii="仿宋_GB2312" w:hAnsi="宋体" w:eastAsia="仿宋_GB2312"/>
                <w:sz w:val="24"/>
                <w:szCs w:val="24"/>
                <w:lang w:eastAsia="zh-CN"/>
              </w:rPr>
              <w:t>（</w:t>
            </w:r>
            <w:r>
              <w:rPr>
                <w:rFonts w:hint="eastAsia" w:ascii="仿宋_GB2312" w:hAnsi="宋体" w:eastAsia="仿宋_GB2312"/>
                <w:sz w:val="24"/>
                <w:szCs w:val="24"/>
              </w:rPr>
              <w:t>万元</w:t>
            </w:r>
            <w:r>
              <w:rPr>
                <w:rFonts w:hint="eastAsia" w:ascii="仿宋_GB2312" w:hAnsi="宋体" w:eastAsia="仿宋_GB2312"/>
                <w:sz w:val="24"/>
                <w:szCs w:val="24"/>
                <w:lang w:eastAsia="zh-CN"/>
              </w:rPr>
              <w:t>）</w:t>
            </w:r>
          </w:p>
        </w:tc>
        <w:tc>
          <w:tcPr>
            <w:tcW w:w="2148" w:type="dxa"/>
            <w:tcBorders>
              <w:top w:val="single" w:color="auto" w:sz="4" w:space="0"/>
              <w:left w:val="single" w:color="auto" w:sz="4" w:space="0"/>
              <w:bottom w:val="single" w:color="auto" w:sz="4" w:space="0"/>
              <w:right w:val="single" w:color="auto" w:sz="4" w:space="0"/>
            </w:tcBorders>
            <w:vAlign w:val="center"/>
          </w:tcPr>
          <w:p w14:paraId="7562375D">
            <w:pPr>
              <w:adjustRightInd w:val="0"/>
              <w:snapToGrid w:val="0"/>
              <w:spacing w:line="480" w:lineRule="exact"/>
              <w:jc w:val="center"/>
              <w:rPr>
                <w:rFonts w:hint="default" w:ascii="仿宋_GB2312" w:hAnsi="宋体" w:eastAsia="仿宋_GB2312"/>
                <w:sz w:val="24"/>
                <w:szCs w:val="24"/>
                <w:lang w:val="en-US" w:eastAsia="zh-CN"/>
              </w:rPr>
            </w:pPr>
            <w:r>
              <w:rPr>
                <w:rFonts w:hint="eastAsia" w:ascii="仿宋_GB2312" w:hAnsi="宋体" w:eastAsia="仿宋_GB2312"/>
                <w:sz w:val="24"/>
                <w:szCs w:val="24"/>
                <w:lang w:val="en-US" w:eastAsia="zh-CN"/>
              </w:rPr>
              <w:t>2043.73</w:t>
            </w:r>
          </w:p>
        </w:tc>
        <w:tc>
          <w:tcPr>
            <w:tcW w:w="2553" w:type="dxa"/>
            <w:tcBorders>
              <w:top w:val="single" w:color="auto" w:sz="4" w:space="0"/>
              <w:left w:val="single" w:color="auto" w:sz="4" w:space="0"/>
              <w:bottom w:val="single" w:color="auto" w:sz="4" w:space="0"/>
              <w:right w:val="single" w:color="auto" w:sz="4" w:space="0"/>
            </w:tcBorders>
            <w:vAlign w:val="center"/>
          </w:tcPr>
          <w:p w14:paraId="53CCDBCC">
            <w:pPr>
              <w:adjustRightInd w:val="0"/>
              <w:snapToGrid w:val="0"/>
              <w:spacing w:line="480" w:lineRule="exact"/>
              <w:jc w:val="center"/>
              <w:rPr>
                <w:rFonts w:hint="eastAsia" w:ascii="仿宋_GB2312" w:hAnsi="宋体" w:eastAsia="仿宋_GB2312"/>
                <w:sz w:val="24"/>
                <w:szCs w:val="24"/>
                <w:lang w:eastAsia="zh-CN"/>
              </w:rPr>
            </w:pPr>
            <w:r>
              <w:rPr>
                <w:rFonts w:hint="eastAsia" w:ascii="仿宋_GB2312" w:hAnsi="宋体" w:eastAsia="仿宋_GB2312"/>
                <w:sz w:val="24"/>
                <w:szCs w:val="24"/>
                <w:lang w:eastAsia="zh-CN"/>
              </w:rPr>
              <w:t>环保投资（万元）</w:t>
            </w:r>
          </w:p>
        </w:tc>
        <w:tc>
          <w:tcPr>
            <w:tcW w:w="1744" w:type="dxa"/>
            <w:tcBorders>
              <w:top w:val="single" w:color="auto" w:sz="4" w:space="0"/>
              <w:left w:val="single" w:color="auto" w:sz="4" w:space="0"/>
              <w:bottom w:val="single" w:color="auto" w:sz="4" w:space="0"/>
              <w:right w:val="single" w:color="auto" w:sz="8" w:space="0"/>
            </w:tcBorders>
            <w:vAlign w:val="center"/>
          </w:tcPr>
          <w:p w14:paraId="3B351CAC">
            <w:pPr>
              <w:adjustRightInd w:val="0"/>
              <w:snapToGrid w:val="0"/>
              <w:spacing w:line="480" w:lineRule="exact"/>
              <w:jc w:val="center"/>
              <w:rPr>
                <w:rFonts w:hint="default" w:ascii="仿宋_GB2312" w:hAnsi="宋体" w:eastAsia="仿宋_GB2312"/>
                <w:sz w:val="24"/>
                <w:szCs w:val="24"/>
                <w:lang w:val="en-US" w:eastAsia="zh-CN"/>
              </w:rPr>
            </w:pPr>
            <w:r>
              <w:rPr>
                <w:rFonts w:hint="eastAsia" w:ascii="仿宋_GB2312" w:hAnsi="宋体" w:eastAsia="仿宋_GB2312"/>
                <w:sz w:val="24"/>
                <w:szCs w:val="24"/>
                <w:lang w:val="en-US" w:eastAsia="zh-CN"/>
              </w:rPr>
              <w:t>13.2</w:t>
            </w:r>
          </w:p>
        </w:tc>
      </w:tr>
      <w:tr w14:paraId="772381B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077" w:type="dxa"/>
            <w:tcBorders>
              <w:top w:val="single" w:color="auto" w:sz="4" w:space="0"/>
              <w:left w:val="single" w:color="auto" w:sz="8" w:space="0"/>
              <w:bottom w:val="single" w:color="auto" w:sz="4" w:space="0"/>
              <w:right w:val="single" w:color="auto" w:sz="4" w:space="0"/>
            </w:tcBorders>
            <w:vAlign w:val="center"/>
          </w:tcPr>
          <w:p w14:paraId="5044025F">
            <w:pPr>
              <w:adjustRightInd w:val="0"/>
              <w:snapToGrid w:val="0"/>
              <w:spacing w:line="480" w:lineRule="exact"/>
              <w:jc w:val="center"/>
              <w:rPr>
                <w:rFonts w:ascii="仿宋_GB2312" w:hAnsi="宋体" w:eastAsia="仿宋_GB2312" w:cs="Times New Roman"/>
                <w:sz w:val="24"/>
                <w:szCs w:val="24"/>
              </w:rPr>
            </w:pPr>
            <w:r>
              <w:rPr>
                <w:rFonts w:hint="eastAsia" w:ascii="仿宋_GB2312" w:hAnsi="宋体" w:eastAsia="仿宋_GB2312"/>
                <w:sz w:val="24"/>
                <w:szCs w:val="24"/>
              </w:rPr>
              <w:t>拟投入生产运营日期</w:t>
            </w:r>
          </w:p>
        </w:tc>
        <w:tc>
          <w:tcPr>
            <w:tcW w:w="6445" w:type="dxa"/>
            <w:gridSpan w:val="3"/>
            <w:tcBorders>
              <w:top w:val="single" w:color="auto" w:sz="4" w:space="0"/>
              <w:left w:val="single" w:color="auto" w:sz="4" w:space="0"/>
              <w:bottom w:val="single" w:color="auto" w:sz="4" w:space="0"/>
              <w:right w:val="single" w:color="auto" w:sz="8" w:space="0"/>
            </w:tcBorders>
            <w:vAlign w:val="center"/>
          </w:tcPr>
          <w:p w14:paraId="060BD706">
            <w:pPr>
              <w:adjustRightInd w:val="0"/>
              <w:snapToGrid w:val="0"/>
              <w:spacing w:line="480" w:lineRule="exact"/>
              <w:jc w:val="center"/>
              <w:rPr>
                <w:rFonts w:ascii="Times New Roman" w:hAnsi="Times New Roman" w:eastAsia="仿宋" w:cs="Times New Roman"/>
                <w:sz w:val="24"/>
                <w:szCs w:val="24"/>
              </w:rPr>
            </w:pPr>
            <w:r>
              <w:rPr>
                <w:rFonts w:hint="eastAsia" w:ascii="仿宋_GB2312" w:hAnsi="宋体" w:eastAsia="仿宋_GB2312"/>
                <w:sz w:val="24"/>
                <w:szCs w:val="24"/>
              </w:rPr>
              <w:t>202</w:t>
            </w:r>
            <w:r>
              <w:rPr>
                <w:rFonts w:hint="eastAsia" w:ascii="仿宋_GB2312" w:hAnsi="宋体" w:eastAsia="仿宋_GB2312"/>
                <w:sz w:val="24"/>
                <w:szCs w:val="24"/>
                <w:lang w:val="en-US" w:eastAsia="zh-CN"/>
              </w:rPr>
              <w:t>6</w:t>
            </w:r>
            <w:r>
              <w:rPr>
                <w:rFonts w:hint="eastAsia" w:ascii="仿宋_GB2312" w:hAnsi="宋体" w:eastAsia="仿宋_GB2312"/>
                <w:sz w:val="24"/>
                <w:szCs w:val="24"/>
              </w:rPr>
              <w:t>年</w:t>
            </w:r>
            <w:r>
              <w:rPr>
                <w:rFonts w:hint="eastAsia" w:ascii="仿宋_GB2312" w:hAnsi="宋体" w:eastAsia="仿宋_GB2312"/>
                <w:sz w:val="24"/>
                <w:szCs w:val="24"/>
                <w:lang w:val="en-US" w:eastAsia="zh-CN"/>
              </w:rPr>
              <w:t>2</w:t>
            </w:r>
            <w:r>
              <w:rPr>
                <w:rFonts w:hint="eastAsia" w:ascii="仿宋_GB2312" w:hAnsi="宋体" w:eastAsia="仿宋_GB2312"/>
                <w:sz w:val="24"/>
                <w:szCs w:val="24"/>
              </w:rPr>
              <w:t>月</w:t>
            </w:r>
          </w:p>
        </w:tc>
      </w:tr>
      <w:tr w14:paraId="391C987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00" w:hRule="atLeast"/>
          <w:jc w:val="center"/>
        </w:trPr>
        <w:tc>
          <w:tcPr>
            <w:tcW w:w="2077" w:type="dxa"/>
            <w:tcBorders>
              <w:top w:val="single" w:color="auto" w:sz="4" w:space="0"/>
              <w:left w:val="single" w:color="auto" w:sz="8" w:space="0"/>
              <w:bottom w:val="single" w:color="auto" w:sz="4" w:space="0"/>
              <w:right w:val="single" w:color="auto" w:sz="4" w:space="0"/>
            </w:tcBorders>
            <w:vAlign w:val="center"/>
          </w:tcPr>
          <w:p w14:paraId="191EB008">
            <w:pPr>
              <w:adjustRightInd w:val="0"/>
              <w:snapToGrid w:val="0"/>
              <w:spacing w:line="500" w:lineRule="exact"/>
              <w:jc w:val="center"/>
              <w:rPr>
                <w:rFonts w:ascii="仿宋_GB2312" w:hAnsi="宋体" w:eastAsia="仿宋_GB2312" w:cs="Times New Roman"/>
                <w:sz w:val="24"/>
                <w:szCs w:val="24"/>
              </w:rPr>
            </w:pPr>
            <w:r>
              <w:rPr>
                <w:rFonts w:hint="eastAsia" w:ascii="仿宋_GB2312" w:hAnsi="宋体" w:eastAsia="仿宋_GB2312"/>
                <w:sz w:val="24"/>
                <w:szCs w:val="24"/>
              </w:rPr>
              <w:t>告知承诺制审批依据</w:t>
            </w:r>
          </w:p>
        </w:tc>
        <w:tc>
          <w:tcPr>
            <w:tcW w:w="6445" w:type="dxa"/>
            <w:gridSpan w:val="3"/>
            <w:tcBorders>
              <w:top w:val="single" w:color="auto" w:sz="4" w:space="0"/>
              <w:left w:val="single" w:color="auto" w:sz="4" w:space="0"/>
              <w:bottom w:val="single" w:color="auto" w:sz="4" w:space="0"/>
              <w:right w:val="single" w:color="auto" w:sz="8" w:space="0"/>
            </w:tcBorders>
            <w:vAlign w:val="center"/>
          </w:tcPr>
          <w:p w14:paraId="1F483A25">
            <w:pPr>
              <w:adjustRightInd w:val="0"/>
              <w:snapToGrid w:val="0"/>
              <w:spacing w:line="460" w:lineRule="exact"/>
              <w:rPr>
                <w:rFonts w:ascii="Times New Roman" w:hAnsi="Times New Roman" w:eastAsia="仿宋" w:cs="Times New Roman"/>
                <w:sz w:val="24"/>
                <w:szCs w:val="24"/>
              </w:rPr>
            </w:pPr>
            <w:r>
              <w:rPr>
                <w:rFonts w:hint="eastAsia" w:ascii="Times New Roman" w:hAnsi="仿宋" w:eastAsia="仿宋" w:cs="Times New Roman"/>
                <w:sz w:val="24"/>
                <w:szCs w:val="24"/>
              </w:rPr>
              <w:t>本</w:t>
            </w:r>
            <w:r>
              <w:rPr>
                <w:rFonts w:ascii="Times New Roman" w:hAnsi="仿宋" w:eastAsia="仿宋" w:cs="Times New Roman"/>
                <w:sz w:val="24"/>
                <w:szCs w:val="24"/>
              </w:rPr>
              <w:t>项目属于《吉林省生态环境厅关于实施建设项目环境影响评价文件审批事项告知承诺制改革试点的通知》适用范围中的</w:t>
            </w:r>
            <w:r>
              <w:rPr>
                <w:rFonts w:ascii="Times New Roman" w:hAnsi="Times New Roman" w:eastAsia="仿宋" w:cs="Times New Roman"/>
                <w:sz w:val="24"/>
                <w:szCs w:val="24"/>
              </w:rPr>
              <w:t>“</w:t>
            </w:r>
            <w:r>
              <w:rPr>
                <w:rFonts w:ascii="Times New Roman" w:hAnsi="仿宋" w:eastAsia="仿宋" w:cs="Times New Roman"/>
                <w:sz w:val="24"/>
                <w:szCs w:val="24"/>
              </w:rPr>
              <w:t>除有毒、有害及危险品的仓储、物流配送项目外，应编制环境影响报告表的</w:t>
            </w:r>
            <w:r>
              <w:rPr>
                <w:rFonts w:ascii="Times New Roman" w:hAnsi="Times New Roman" w:eastAsia="仿宋" w:cs="Times New Roman"/>
                <w:sz w:val="24"/>
                <w:szCs w:val="24"/>
              </w:rPr>
              <w:t>”</w:t>
            </w:r>
            <w:r>
              <w:rPr>
                <w:rFonts w:ascii="Times New Roman" w:hAnsi="仿宋" w:eastAsia="仿宋" w:cs="Times New Roman"/>
                <w:sz w:val="24"/>
                <w:szCs w:val="24"/>
              </w:rPr>
              <w:t>建设项目。</w:t>
            </w:r>
          </w:p>
        </w:tc>
      </w:tr>
      <w:tr w14:paraId="0552F82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077" w:type="dxa"/>
            <w:tcBorders>
              <w:top w:val="single" w:color="auto" w:sz="4" w:space="0"/>
              <w:left w:val="single" w:color="auto" w:sz="8" w:space="0"/>
              <w:bottom w:val="single" w:color="auto" w:sz="4" w:space="0"/>
              <w:right w:val="single" w:color="auto" w:sz="4" w:space="0"/>
            </w:tcBorders>
            <w:vAlign w:val="center"/>
          </w:tcPr>
          <w:p w14:paraId="15825265">
            <w:pPr>
              <w:adjustRightInd w:val="0"/>
              <w:snapToGrid w:val="0"/>
              <w:spacing w:line="500" w:lineRule="exact"/>
              <w:jc w:val="center"/>
              <w:rPr>
                <w:rFonts w:ascii="仿宋_GB2312" w:hAnsi="宋体" w:eastAsia="仿宋_GB2312" w:cs="Times New Roman"/>
                <w:sz w:val="24"/>
                <w:szCs w:val="24"/>
              </w:rPr>
            </w:pPr>
            <w:r>
              <w:rPr>
                <w:rFonts w:hint="eastAsia" w:ascii="仿宋_GB2312" w:hAnsi="宋体" w:eastAsia="仿宋_GB2312"/>
                <w:sz w:val="24"/>
                <w:szCs w:val="24"/>
              </w:rPr>
              <w:t>建设内容及规模</w:t>
            </w:r>
          </w:p>
        </w:tc>
        <w:tc>
          <w:tcPr>
            <w:tcW w:w="6445" w:type="dxa"/>
            <w:gridSpan w:val="3"/>
            <w:tcBorders>
              <w:top w:val="single" w:color="auto" w:sz="4" w:space="0"/>
              <w:left w:val="single" w:color="auto" w:sz="4" w:space="0"/>
              <w:bottom w:val="single" w:color="auto" w:sz="4" w:space="0"/>
              <w:right w:val="single" w:color="auto" w:sz="8" w:space="0"/>
            </w:tcBorders>
            <w:vAlign w:val="center"/>
          </w:tcPr>
          <w:p w14:paraId="49692F53">
            <w:pPr>
              <w:pStyle w:val="2"/>
              <w:ind w:left="0" w:leftChars="0" w:firstLine="0" w:firstLineChars="0"/>
              <w:jc w:val="left"/>
            </w:pPr>
            <w:r>
              <w:rPr>
                <w:rFonts w:hint="eastAsia" w:ascii="仿宋" w:hAnsi="仿宋" w:eastAsia="仿宋" w:cs="仿宋"/>
                <w:sz w:val="24"/>
                <w:szCs w:val="24"/>
                <w:lang w:val="en-US" w:eastAsia="zh-CN"/>
              </w:rPr>
              <w:t>本项目对现有2号空厂房进行改造，新建1条PETS乳液助剂生产线及其主要生产设备、环保设施，工艺：投料—溶解—乳化—复配—灌装，建成后年产10000吨PETS乳液助剂。新建10</w:t>
            </w:r>
            <w:r>
              <w:rPr>
                <w:rFonts w:hint="default" w:ascii="仿宋" w:hAnsi="仿宋" w:eastAsia="仿宋" w:cs="仿宋"/>
                <w:sz w:val="24"/>
                <w:szCs w:val="24"/>
                <w:lang w:val="en-US" w:eastAsia="zh-CN"/>
              </w:rPr>
              <w:t>m</w:t>
            </w:r>
            <w:r>
              <w:rPr>
                <w:rFonts w:hint="default" w:ascii="仿宋" w:hAnsi="仿宋" w:eastAsia="仿宋" w:cs="仿宋"/>
                <w:sz w:val="24"/>
                <w:szCs w:val="24"/>
                <w:vertAlign w:val="superscript"/>
                <w:lang w:val="en-US" w:eastAsia="zh-CN"/>
              </w:rPr>
              <w:t>2</w:t>
            </w:r>
            <w:r>
              <w:rPr>
                <w:rFonts w:hint="default" w:ascii="仿宋" w:hAnsi="仿宋" w:eastAsia="仿宋" w:cs="仿宋"/>
                <w:sz w:val="24"/>
                <w:szCs w:val="24"/>
                <w:lang w:val="en-US" w:eastAsia="zh-CN"/>
              </w:rPr>
              <w:t>危险废物贮存点</w:t>
            </w:r>
            <w:r>
              <w:rPr>
                <w:rFonts w:hint="eastAsia" w:ascii="仿宋" w:hAnsi="仿宋" w:eastAsia="仿宋" w:cs="仿宋"/>
                <w:sz w:val="24"/>
                <w:szCs w:val="24"/>
                <w:lang w:val="en-US" w:eastAsia="zh-CN"/>
              </w:rPr>
              <w:t>，</w:t>
            </w:r>
            <w:r>
              <w:rPr>
                <w:rFonts w:hint="default" w:ascii="仿宋" w:hAnsi="仿宋" w:eastAsia="仿宋" w:cs="仿宋"/>
                <w:sz w:val="24"/>
                <w:szCs w:val="24"/>
                <w:lang w:val="en-US" w:eastAsia="zh-CN"/>
              </w:rPr>
              <w:t>150m</w:t>
            </w:r>
            <w:r>
              <w:rPr>
                <w:rFonts w:hint="default" w:ascii="仿宋" w:hAnsi="仿宋" w:eastAsia="仿宋" w:cs="仿宋"/>
                <w:sz w:val="24"/>
                <w:szCs w:val="24"/>
                <w:vertAlign w:val="superscript"/>
                <w:lang w:val="en-US" w:eastAsia="zh-CN"/>
              </w:rPr>
              <w:t>2</w:t>
            </w:r>
            <w:r>
              <w:rPr>
                <w:rFonts w:hint="eastAsia" w:ascii="仿宋" w:hAnsi="仿宋" w:eastAsia="仿宋" w:cs="仿宋"/>
                <w:sz w:val="24"/>
                <w:szCs w:val="24"/>
                <w:lang w:val="en-US" w:eastAsia="zh-CN"/>
              </w:rPr>
              <w:t>原料区、</w:t>
            </w:r>
            <w:r>
              <w:rPr>
                <w:rFonts w:hint="default" w:ascii="仿宋" w:hAnsi="仿宋" w:eastAsia="仿宋" w:cs="仿宋"/>
                <w:sz w:val="24"/>
                <w:szCs w:val="24"/>
                <w:lang w:val="en-US" w:eastAsia="zh-CN"/>
              </w:rPr>
              <w:t>150m</w:t>
            </w:r>
            <w:r>
              <w:rPr>
                <w:rFonts w:hint="default" w:ascii="仿宋" w:hAnsi="仿宋" w:eastAsia="仿宋" w:cs="仿宋"/>
                <w:sz w:val="24"/>
                <w:szCs w:val="24"/>
                <w:vertAlign w:val="superscript"/>
                <w:lang w:val="en-US" w:eastAsia="zh-CN"/>
              </w:rPr>
              <w:t>2</w:t>
            </w:r>
            <w:r>
              <w:rPr>
                <w:rFonts w:hint="default" w:ascii="仿宋" w:hAnsi="仿宋" w:eastAsia="仿宋" w:cs="仿宋"/>
                <w:sz w:val="24"/>
                <w:szCs w:val="24"/>
                <w:lang w:val="en-US" w:eastAsia="zh-CN"/>
              </w:rPr>
              <w:t>成品区</w:t>
            </w:r>
            <w:r>
              <w:rPr>
                <w:rFonts w:hint="eastAsia" w:ascii="仿宋" w:hAnsi="仿宋" w:eastAsia="仿宋" w:cs="仿宋"/>
                <w:sz w:val="24"/>
                <w:szCs w:val="24"/>
                <w:lang w:val="en-US" w:eastAsia="zh-CN"/>
              </w:rPr>
              <w:t>等工程依托现有</w:t>
            </w:r>
            <w:r>
              <w:rPr>
                <w:rFonts w:hint="eastAsia" w:ascii="仿宋" w:hAnsi="仿宋" w:eastAsia="仿宋" w:cs="仿宋"/>
                <w:color w:val="000000" w:themeColor="text1"/>
                <w:sz w:val="24"/>
                <w:szCs w:val="24"/>
                <w:lang w:val="en-US" w:eastAsia="zh-CN"/>
              </w:rPr>
              <w:t>。</w:t>
            </w:r>
            <w:r>
              <w:rPr>
                <w:rFonts w:hint="eastAsia" w:ascii="仿宋" w:hAnsi="仿宋" w:eastAsia="仿宋" w:cs="仿宋"/>
                <w:sz w:val="24"/>
                <w:szCs w:val="24"/>
                <w:lang w:val="en-US" w:eastAsia="zh-CN"/>
              </w:rPr>
              <w:t>本项目新增劳动定员35人，</w:t>
            </w:r>
            <w:r>
              <w:rPr>
                <w:rFonts w:hint="default" w:ascii="仿宋" w:hAnsi="仿宋" w:eastAsia="仿宋" w:cs="仿宋"/>
                <w:sz w:val="24"/>
                <w:szCs w:val="24"/>
                <w:lang w:val="en-US" w:eastAsia="zh-CN"/>
              </w:rPr>
              <w:t>年生产320天，三班制，每班生产8小时</w:t>
            </w:r>
            <w:r>
              <w:rPr>
                <w:rFonts w:hint="eastAsia" w:ascii="仿宋" w:hAnsi="仿宋" w:eastAsia="仿宋" w:cs="仿宋"/>
                <w:sz w:val="24"/>
                <w:szCs w:val="24"/>
                <w:lang w:val="en-US" w:eastAsia="zh-CN"/>
              </w:rPr>
              <w:t>。本项目采取集中供暖。</w:t>
            </w:r>
          </w:p>
        </w:tc>
      </w:tr>
      <w:tr w14:paraId="3BFE4A5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754" w:hRule="atLeast"/>
          <w:jc w:val="center"/>
        </w:trPr>
        <w:tc>
          <w:tcPr>
            <w:tcW w:w="8522" w:type="dxa"/>
            <w:gridSpan w:val="4"/>
            <w:tcBorders>
              <w:top w:val="single" w:color="auto" w:sz="4" w:space="0"/>
              <w:left w:val="single" w:color="auto" w:sz="8" w:space="0"/>
              <w:bottom w:val="single" w:color="auto" w:sz="4" w:space="0"/>
              <w:right w:val="single" w:color="auto" w:sz="8" w:space="0"/>
            </w:tcBorders>
          </w:tcPr>
          <w:p w14:paraId="2A6BA3D4">
            <w:pPr>
              <w:adjustRightInd w:val="0"/>
              <w:snapToGrid w:val="0"/>
              <w:spacing w:line="460" w:lineRule="exact"/>
              <w:rPr>
                <w:rFonts w:ascii="仿宋_GB2312" w:hAnsi="宋体" w:eastAsia="仿宋_GB2312" w:cs="仿宋_GB2312"/>
                <w:b/>
                <w:sz w:val="24"/>
                <w:szCs w:val="24"/>
              </w:rPr>
            </w:pPr>
            <w:r>
              <w:rPr>
                <w:rFonts w:hint="eastAsia" w:ascii="仿宋_GB2312" w:hAnsi="宋体" w:eastAsia="仿宋_GB2312" w:cs="仿宋_GB2312"/>
                <w:b/>
                <w:sz w:val="24"/>
                <w:szCs w:val="24"/>
              </w:rPr>
              <w:t>环评文件提出的主要环境污染及生态破坏防治设施和措施简述（主要污染源采用的环保设施（措施）及效率、处理后污染物排放标准和排放总量、排放去向，采用的主要环境风险防治措施）：</w:t>
            </w:r>
          </w:p>
          <w:p w14:paraId="08CC977C">
            <w:pPr>
              <w:pStyle w:val="4"/>
              <w:tabs>
                <w:tab w:val="left" w:pos="0"/>
                <w:tab w:val="left" w:pos="1260"/>
              </w:tabs>
              <w:spacing w:line="460" w:lineRule="exact"/>
              <w:ind w:firstLine="480" w:firstLineChars="200"/>
              <w:rPr>
                <w:rFonts w:hint="eastAsia" w:ascii="仿宋" w:hAnsi="仿宋" w:eastAsia="仿宋" w:cs="仿宋"/>
                <w:smallCaps w:val="0"/>
                <w:sz w:val="24"/>
                <w:szCs w:val="24"/>
                <w:lang w:val="en-US" w:eastAsia="zh-CN"/>
              </w:rPr>
            </w:pPr>
            <w:r>
              <w:rPr>
                <w:rFonts w:hint="eastAsia" w:ascii="仿宋" w:hAnsi="仿宋" w:eastAsia="仿宋" w:cs="Times New Roman"/>
                <w:sz w:val="24"/>
                <w:szCs w:val="24"/>
                <w:lang w:val="en-US" w:eastAsia="zh-CN"/>
              </w:rPr>
              <w:t>1.废气：</w:t>
            </w:r>
          </w:p>
          <w:p w14:paraId="67BB4F6F">
            <w:pPr>
              <w:pStyle w:val="4"/>
              <w:tabs>
                <w:tab w:val="left" w:pos="0"/>
                <w:tab w:val="left" w:pos="1260"/>
              </w:tabs>
              <w:spacing w:line="460" w:lineRule="exact"/>
              <w:ind w:firstLine="480" w:firstLineChars="200"/>
              <w:rPr>
                <w:rFonts w:hint="default" w:ascii="仿宋" w:hAnsi="仿宋" w:eastAsia="仿宋" w:cs="仿宋"/>
                <w:smallCaps w:val="0"/>
                <w:sz w:val="24"/>
                <w:szCs w:val="24"/>
                <w:lang w:val="en-US" w:eastAsia="zh-CN"/>
              </w:rPr>
            </w:pPr>
            <w:r>
              <w:rPr>
                <w:rFonts w:hint="eastAsia" w:ascii="仿宋" w:hAnsi="仿宋" w:eastAsia="仿宋" w:cs="仿宋"/>
                <w:smallCaps w:val="0"/>
                <w:sz w:val="24"/>
                <w:szCs w:val="24"/>
                <w:lang w:val="en-US" w:eastAsia="zh-CN"/>
              </w:rPr>
              <w:t>本项目生产期间关闭门窗，本项目在溶解工序、乳化工序、复配工序及灌装工序投料出料处设置集气罩，同时溶解釜、乳化釜、复配釜排气孔直接通过管线收集废气，</w:t>
            </w:r>
            <w:r>
              <w:rPr>
                <w:rFonts w:hint="default" w:ascii="仿宋" w:hAnsi="仿宋" w:eastAsia="仿宋" w:cs="仿宋"/>
                <w:smallCaps w:val="0"/>
                <w:sz w:val="24"/>
                <w:szCs w:val="24"/>
                <w:lang w:val="en-US" w:eastAsia="zh-CN"/>
              </w:rPr>
              <w:t>采用“布袋除尘器+活性炭吸附”处理，处理后的废气经过15m高排气筒</w:t>
            </w:r>
            <w:r>
              <w:rPr>
                <w:rFonts w:hint="eastAsia" w:ascii="仿宋" w:hAnsi="仿宋" w:eastAsia="仿宋" w:cs="仿宋"/>
                <w:smallCaps w:val="0"/>
                <w:sz w:val="24"/>
                <w:szCs w:val="24"/>
                <w:lang w:val="en-US" w:eastAsia="zh-CN"/>
              </w:rPr>
              <w:t>（</w:t>
            </w:r>
            <w:r>
              <w:rPr>
                <w:rFonts w:hint="default" w:ascii="仿宋" w:hAnsi="仿宋" w:eastAsia="仿宋" w:cs="仿宋"/>
                <w:smallCaps w:val="0"/>
                <w:sz w:val="24"/>
                <w:szCs w:val="24"/>
                <w:lang w:val="en-US" w:eastAsia="zh-CN"/>
              </w:rPr>
              <w:t>DA001</w:t>
            </w:r>
            <w:r>
              <w:rPr>
                <w:rFonts w:hint="eastAsia" w:ascii="仿宋" w:hAnsi="仿宋" w:eastAsia="仿宋" w:cs="仿宋"/>
                <w:smallCaps w:val="0"/>
                <w:sz w:val="24"/>
                <w:szCs w:val="24"/>
                <w:lang w:val="en-US" w:eastAsia="zh-CN"/>
              </w:rPr>
              <w:t>）</w:t>
            </w:r>
            <w:r>
              <w:rPr>
                <w:rFonts w:hint="default" w:ascii="仿宋" w:hAnsi="仿宋" w:eastAsia="仿宋" w:cs="仿宋"/>
                <w:smallCaps w:val="0"/>
                <w:sz w:val="24"/>
                <w:szCs w:val="24"/>
                <w:lang w:val="en-US" w:eastAsia="zh-CN"/>
              </w:rPr>
              <w:t>排放</w:t>
            </w:r>
            <w:r>
              <w:rPr>
                <w:rFonts w:hint="eastAsia" w:ascii="仿宋" w:hAnsi="仿宋" w:eastAsia="仿宋" w:cs="仿宋"/>
                <w:smallCaps w:val="0"/>
                <w:sz w:val="24"/>
                <w:szCs w:val="24"/>
                <w:lang w:val="en-US" w:eastAsia="zh-CN"/>
              </w:rPr>
              <w:t>；加强管理，确保</w:t>
            </w:r>
            <w:r>
              <w:rPr>
                <w:rFonts w:hint="default" w:ascii="仿宋" w:hAnsi="仿宋" w:eastAsia="仿宋" w:cs="仿宋"/>
                <w:smallCaps w:val="0"/>
                <w:sz w:val="24"/>
                <w:szCs w:val="24"/>
                <w:lang w:val="en-US" w:eastAsia="zh-CN"/>
              </w:rPr>
              <w:t>颗粒物</w:t>
            </w:r>
            <w:r>
              <w:rPr>
                <w:rFonts w:hint="eastAsia" w:ascii="仿宋" w:hAnsi="仿宋" w:eastAsia="仿宋" w:cs="仿宋"/>
                <w:smallCaps w:val="0"/>
                <w:sz w:val="24"/>
                <w:szCs w:val="24"/>
                <w:lang w:val="en-US" w:eastAsia="zh-CN"/>
              </w:rPr>
              <w:t>、</w:t>
            </w:r>
            <w:r>
              <w:rPr>
                <w:rFonts w:hint="default" w:ascii="仿宋" w:hAnsi="仿宋" w:eastAsia="仿宋" w:cs="仿宋"/>
                <w:smallCaps w:val="0"/>
                <w:sz w:val="24"/>
                <w:szCs w:val="24"/>
                <w:lang w:val="en-US" w:eastAsia="zh-CN"/>
              </w:rPr>
              <w:t>非甲烷总烃</w:t>
            </w:r>
            <w:r>
              <w:rPr>
                <w:rFonts w:hint="eastAsia" w:ascii="仿宋" w:hAnsi="仿宋" w:eastAsia="仿宋" w:cs="仿宋"/>
                <w:smallCaps w:val="0"/>
                <w:sz w:val="24"/>
                <w:szCs w:val="24"/>
                <w:lang w:val="en-US" w:eastAsia="zh-CN"/>
              </w:rPr>
              <w:t>有组织排放满足</w:t>
            </w:r>
            <w:r>
              <w:rPr>
                <w:rFonts w:hint="default" w:ascii="仿宋" w:hAnsi="仿宋" w:eastAsia="仿宋" w:cs="仿宋"/>
                <w:smallCaps w:val="0"/>
                <w:sz w:val="24"/>
                <w:szCs w:val="24"/>
                <w:lang w:val="en-US" w:eastAsia="zh-CN"/>
              </w:rPr>
              <w:t>《大气污染物综合排放标准》（GB16297-1996）表2二级排放标准</w:t>
            </w:r>
            <w:r>
              <w:rPr>
                <w:rFonts w:hint="eastAsia" w:ascii="仿宋" w:hAnsi="仿宋" w:eastAsia="仿宋" w:cs="仿宋"/>
                <w:smallCaps w:val="0"/>
                <w:sz w:val="24"/>
                <w:szCs w:val="24"/>
                <w:lang w:val="en-US" w:eastAsia="zh-CN"/>
              </w:rPr>
              <w:t>；厂界</w:t>
            </w:r>
            <w:r>
              <w:rPr>
                <w:rFonts w:hint="default" w:ascii="仿宋" w:hAnsi="仿宋" w:eastAsia="仿宋" w:cs="仿宋"/>
                <w:smallCaps w:val="0"/>
                <w:sz w:val="24"/>
                <w:szCs w:val="24"/>
                <w:lang w:val="en-US" w:eastAsia="zh-CN"/>
              </w:rPr>
              <w:t>颗粒物</w:t>
            </w:r>
            <w:r>
              <w:rPr>
                <w:rFonts w:hint="eastAsia" w:ascii="仿宋" w:hAnsi="仿宋" w:eastAsia="仿宋" w:cs="仿宋"/>
                <w:smallCaps w:val="0"/>
                <w:sz w:val="24"/>
                <w:szCs w:val="24"/>
                <w:lang w:val="en-US" w:eastAsia="zh-CN"/>
              </w:rPr>
              <w:t>、</w:t>
            </w:r>
            <w:r>
              <w:rPr>
                <w:rFonts w:hint="default" w:ascii="仿宋" w:hAnsi="仿宋" w:eastAsia="仿宋" w:cs="仿宋"/>
                <w:smallCaps w:val="0"/>
                <w:sz w:val="24"/>
                <w:szCs w:val="24"/>
                <w:lang w:val="en-US" w:eastAsia="zh-CN"/>
              </w:rPr>
              <w:t>非甲烷总烃</w:t>
            </w:r>
            <w:r>
              <w:rPr>
                <w:rFonts w:hint="eastAsia" w:ascii="仿宋" w:hAnsi="仿宋" w:eastAsia="仿宋" w:cs="仿宋"/>
                <w:smallCaps w:val="0"/>
                <w:sz w:val="24"/>
                <w:szCs w:val="24"/>
                <w:lang w:val="en-US" w:eastAsia="zh-CN"/>
              </w:rPr>
              <w:t>无组织排放满足</w:t>
            </w:r>
            <w:r>
              <w:rPr>
                <w:rFonts w:hint="default" w:ascii="仿宋" w:hAnsi="仿宋" w:eastAsia="仿宋" w:cs="仿宋"/>
                <w:smallCaps w:val="0"/>
                <w:sz w:val="24"/>
                <w:szCs w:val="24"/>
                <w:lang w:val="en-US" w:eastAsia="zh-CN"/>
              </w:rPr>
              <w:t>《大气污染物综合排放标准》（GB16297-1996）表2无组织排放监控浓度限值</w:t>
            </w:r>
            <w:r>
              <w:rPr>
                <w:rFonts w:hint="eastAsia" w:ascii="仿宋" w:hAnsi="仿宋" w:eastAsia="仿宋" w:cs="仿宋"/>
                <w:smallCaps w:val="0"/>
                <w:sz w:val="24"/>
                <w:szCs w:val="24"/>
                <w:lang w:val="en-US" w:eastAsia="zh-CN"/>
              </w:rPr>
              <w:t>要求；</w:t>
            </w:r>
            <w:r>
              <w:rPr>
                <w:rFonts w:hint="default" w:ascii="仿宋" w:hAnsi="仿宋" w:eastAsia="仿宋" w:cs="仿宋"/>
                <w:smallCaps w:val="0"/>
                <w:sz w:val="24"/>
                <w:szCs w:val="24"/>
                <w:lang w:val="en-US" w:eastAsia="zh-CN"/>
              </w:rPr>
              <w:t>厂区内</w:t>
            </w:r>
            <w:r>
              <w:rPr>
                <w:rFonts w:hint="eastAsia" w:ascii="仿宋" w:hAnsi="仿宋" w:eastAsia="仿宋" w:cs="仿宋"/>
                <w:smallCaps w:val="0"/>
                <w:sz w:val="24"/>
                <w:szCs w:val="24"/>
                <w:lang w:val="en-US" w:eastAsia="zh-CN"/>
              </w:rPr>
              <w:t>非甲烷总烃</w:t>
            </w:r>
            <w:r>
              <w:rPr>
                <w:rFonts w:hint="default" w:ascii="仿宋" w:hAnsi="仿宋" w:eastAsia="仿宋" w:cs="仿宋"/>
                <w:smallCaps w:val="0"/>
                <w:sz w:val="24"/>
                <w:szCs w:val="24"/>
                <w:lang w:val="en-US" w:eastAsia="zh-CN"/>
              </w:rPr>
              <w:t>无组织排放执行《挥发性有机物无组织排放控制标准》（GB37822-2019）中附录A排放限值要求</w:t>
            </w:r>
            <w:r>
              <w:rPr>
                <w:rFonts w:hint="eastAsia" w:ascii="仿宋" w:hAnsi="仿宋" w:eastAsia="仿宋" w:cs="仿宋"/>
                <w:smallCaps w:val="0"/>
                <w:sz w:val="24"/>
                <w:szCs w:val="24"/>
                <w:lang w:val="en-US" w:eastAsia="zh-CN"/>
              </w:rPr>
              <w:t>。</w:t>
            </w:r>
          </w:p>
          <w:p w14:paraId="07983BBE">
            <w:pPr>
              <w:pStyle w:val="4"/>
              <w:tabs>
                <w:tab w:val="left" w:pos="0"/>
                <w:tab w:val="left" w:pos="1260"/>
              </w:tabs>
              <w:spacing w:line="460" w:lineRule="exact"/>
              <w:ind w:firstLine="480" w:firstLineChars="200"/>
              <w:rPr>
                <w:rFonts w:hint="eastAsia" w:ascii="仿宋" w:hAnsi="仿宋" w:eastAsia="仿宋" w:cs="Times New Roman"/>
                <w:sz w:val="24"/>
                <w:szCs w:val="24"/>
                <w:lang w:val="en-US" w:eastAsia="zh-CN"/>
              </w:rPr>
            </w:pPr>
            <w:r>
              <w:rPr>
                <w:rFonts w:hint="eastAsia" w:ascii="仿宋" w:hAnsi="仿宋" w:eastAsia="仿宋" w:cs="Times New Roman"/>
                <w:sz w:val="24"/>
                <w:szCs w:val="24"/>
                <w:lang w:val="en-US" w:eastAsia="zh-CN"/>
              </w:rPr>
              <w:t>2.废水：</w:t>
            </w:r>
          </w:p>
          <w:p w14:paraId="4631BB5D">
            <w:pPr>
              <w:keepNext w:val="0"/>
              <w:keepLines w:val="0"/>
              <w:suppressLineNumbers w:val="0"/>
              <w:spacing w:before="0" w:beforeAutospacing="0" w:after="0" w:afterAutospacing="0" w:line="360" w:lineRule="auto"/>
              <w:ind w:left="0" w:right="0" w:firstLine="480" w:firstLineChars="200"/>
              <w:rPr>
                <w:rFonts w:hint="eastAsia" w:ascii="仿宋" w:hAnsi="仿宋" w:eastAsia="仿宋" w:cs="Times New Roman"/>
                <w:sz w:val="24"/>
                <w:szCs w:val="24"/>
                <w:lang w:val="zh-CN" w:eastAsia="zh-CN"/>
              </w:rPr>
            </w:pPr>
            <w:r>
              <w:rPr>
                <w:rFonts w:hint="eastAsia" w:ascii="仿宋" w:hAnsi="仿宋" w:eastAsia="仿宋" w:cs="Times New Roman"/>
                <w:sz w:val="24"/>
                <w:szCs w:val="24"/>
                <w:lang w:val="en-US" w:eastAsia="zh-CN"/>
              </w:rPr>
              <w:t>本项目运营期无生产废水产生；生活污水排入生活污水市政管网中，经过吉林石化公司污水处理厂处理后排入松花江。</w:t>
            </w:r>
          </w:p>
          <w:p w14:paraId="5BE864C9">
            <w:pPr>
              <w:pStyle w:val="4"/>
              <w:tabs>
                <w:tab w:val="left" w:pos="0"/>
                <w:tab w:val="left" w:pos="1260"/>
              </w:tabs>
              <w:spacing w:line="460" w:lineRule="exact"/>
              <w:ind w:firstLine="480" w:firstLineChars="200"/>
              <w:rPr>
                <w:rFonts w:hint="eastAsia" w:ascii="仿宋" w:hAnsi="仿宋" w:eastAsia="仿宋"/>
                <w:sz w:val="24"/>
                <w:szCs w:val="24"/>
                <w:lang w:val="en-US" w:eastAsia="zh-CN"/>
              </w:rPr>
            </w:pPr>
            <w:r>
              <w:rPr>
                <w:rFonts w:hint="eastAsia" w:ascii="仿宋" w:hAnsi="仿宋" w:eastAsia="仿宋"/>
                <w:sz w:val="24"/>
                <w:szCs w:val="24"/>
                <w:lang w:val="en-US" w:eastAsia="zh-CN"/>
              </w:rPr>
              <w:t>3.噪声：</w:t>
            </w:r>
          </w:p>
          <w:p w14:paraId="2B882BCE">
            <w:pPr>
              <w:pStyle w:val="4"/>
              <w:tabs>
                <w:tab w:val="left" w:pos="0"/>
                <w:tab w:val="left" w:pos="1260"/>
              </w:tabs>
              <w:spacing w:line="460" w:lineRule="exact"/>
              <w:ind w:firstLine="480" w:firstLineChars="200"/>
              <w:rPr>
                <w:rFonts w:hint="eastAsia" w:ascii="仿宋" w:hAnsi="仿宋" w:eastAsia="仿宋" w:cs="Times New Roman"/>
                <w:sz w:val="24"/>
                <w:szCs w:val="24"/>
                <w:lang w:val="en-US" w:eastAsia="zh-CN"/>
              </w:rPr>
            </w:pPr>
            <w:r>
              <w:rPr>
                <w:rFonts w:hint="eastAsia" w:ascii="仿宋" w:hAnsi="仿宋" w:eastAsia="仿宋"/>
                <w:sz w:val="24"/>
                <w:szCs w:val="24"/>
                <w:lang w:val="en-US" w:eastAsia="zh-CN"/>
              </w:rPr>
              <w:t>运营期间选取低噪声设备</w:t>
            </w:r>
            <w:r>
              <w:rPr>
                <w:rFonts w:hint="eastAsia" w:ascii="仿宋" w:hAnsi="仿宋" w:eastAsia="仿宋" w:cs="Times New Roman"/>
                <w:sz w:val="24"/>
                <w:szCs w:val="24"/>
                <w:lang w:val="en-US" w:eastAsia="zh-CN"/>
              </w:rPr>
              <w:t>，通过距离衰减、基础减振、墙体隔声等措施，确保厂界噪声满足《工业企业厂界环境噪声排放标准》</w:t>
            </w:r>
            <w:r>
              <w:rPr>
                <w:rFonts w:hint="default" w:ascii="仿宋" w:hAnsi="仿宋" w:eastAsia="仿宋" w:cs="Times New Roman"/>
                <w:sz w:val="24"/>
                <w:szCs w:val="24"/>
                <w:lang w:val="en-US" w:eastAsia="zh-CN"/>
              </w:rPr>
              <w:t>（GB12348-2008）</w:t>
            </w:r>
            <w:r>
              <w:rPr>
                <w:rFonts w:hint="eastAsia" w:ascii="仿宋" w:hAnsi="仿宋" w:eastAsia="仿宋" w:cs="Times New Roman"/>
                <w:sz w:val="24"/>
                <w:szCs w:val="24"/>
                <w:lang w:val="en-US" w:eastAsia="zh-CN"/>
              </w:rPr>
              <w:t xml:space="preserve">中3类声环境功能区标准要求。 </w:t>
            </w:r>
          </w:p>
          <w:p w14:paraId="64A082BB">
            <w:pPr>
              <w:pStyle w:val="4"/>
              <w:tabs>
                <w:tab w:val="left" w:pos="0"/>
                <w:tab w:val="left" w:pos="1260"/>
              </w:tabs>
              <w:spacing w:line="460" w:lineRule="exact"/>
              <w:ind w:firstLine="480" w:firstLineChars="200"/>
              <w:rPr>
                <w:rFonts w:hint="eastAsia" w:ascii="仿宋" w:hAnsi="仿宋" w:eastAsia="仿宋"/>
                <w:sz w:val="24"/>
                <w:szCs w:val="24"/>
                <w:lang w:val="en-US" w:eastAsia="zh-CN"/>
              </w:rPr>
            </w:pPr>
            <w:r>
              <w:rPr>
                <w:rFonts w:hint="eastAsia" w:ascii="仿宋" w:hAnsi="仿宋" w:eastAsia="仿宋"/>
                <w:sz w:val="24"/>
                <w:szCs w:val="24"/>
                <w:lang w:val="en-US" w:eastAsia="zh-CN"/>
              </w:rPr>
              <w:t>4.固废：</w:t>
            </w:r>
          </w:p>
          <w:p w14:paraId="4F490334">
            <w:pPr>
              <w:pStyle w:val="4"/>
              <w:keepNext w:val="0"/>
              <w:keepLines w:val="0"/>
              <w:pageBreakBefore w:val="0"/>
              <w:widowControl w:val="0"/>
              <w:tabs>
                <w:tab w:val="left" w:pos="0"/>
                <w:tab w:val="left" w:pos="1260"/>
              </w:tabs>
              <w:kinsoku/>
              <w:wordWrap/>
              <w:overflowPunct/>
              <w:topLinePunct w:val="0"/>
              <w:autoSpaceDE/>
              <w:autoSpaceDN/>
              <w:bidi w:val="0"/>
              <w:spacing w:line="480" w:lineRule="exact"/>
              <w:ind w:firstLine="480" w:firstLineChars="200"/>
              <w:textAlignment w:val="auto"/>
              <w:rPr>
                <w:rFonts w:hint="eastAsia" w:ascii="仿宋" w:hAnsi="仿宋" w:eastAsia="仿宋" w:cs="Times New Roman"/>
                <w:sz w:val="24"/>
                <w:szCs w:val="24"/>
                <w:lang w:val="en-US" w:eastAsia="zh-CN"/>
              </w:rPr>
            </w:pPr>
            <w:r>
              <w:rPr>
                <w:rFonts w:hint="eastAsia" w:ascii="仿宋" w:hAnsi="仿宋" w:eastAsia="仿宋"/>
                <w:sz w:val="24"/>
                <w:szCs w:val="24"/>
                <w:lang w:val="en-US" w:eastAsia="zh-CN"/>
              </w:rPr>
              <w:t>本项目</w:t>
            </w:r>
            <w:r>
              <w:rPr>
                <w:rFonts w:hint="default" w:ascii="仿宋" w:hAnsi="仿宋" w:eastAsia="仿宋"/>
                <w:sz w:val="24"/>
                <w:szCs w:val="24"/>
                <w:lang w:val="en-US" w:eastAsia="zh-CN"/>
              </w:rPr>
              <w:t>废矿物油包装桶</w:t>
            </w:r>
            <w:r>
              <w:rPr>
                <w:rFonts w:hint="eastAsia" w:ascii="仿宋" w:hAnsi="仿宋" w:eastAsia="仿宋"/>
                <w:sz w:val="24"/>
                <w:szCs w:val="24"/>
                <w:lang w:val="en-US" w:eastAsia="zh-CN"/>
              </w:rPr>
              <w:t>密封</w:t>
            </w:r>
            <w:r>
              <w:rPr>
                <w:rFonts w:hint="default" w:ascii="仿宋" w:hAnsi="仿宋" w:eastAsia="仿宋"/>
                <w:sz w:val="24"/>
                <w:szCs w:val="24"/>
                <w:lang w:val="en-US" w:eastAsia="zh-CN"/>
              </w:rPr>
              <w:t>存放于危险废物贮存点，由厂家回收后循环使用；废导热油、废机械润滑油</w:t>
            </w:r>
            <w:r>
              <w:rPr>
                <w:rFonts w:hint="eastAsia" w:ascii="仿宋" w:hAnsi="仿宋" w:eastAsia="仿宋"/>
                <w:sz w:val="24"/>
                <w:szCs w:val="24"/>
                <w:lang w:val="en-US" w:eastAsia="zh-CN"/>
              </w:rPr>
              <w:t>采用密封桶装，底部设置防渗漏托盘，</w:t>
            </w:r>
            <w:r>
              <w:rPr>
                <w:rFonts w:hint="default" w:ascii="仿宋" w:hAnsi="仿宋" w:eastAsia="仿宋"/>
                <w:sz w:val="24"/>
                <w:szCs w:val="24"/>
                <w:lang w:val="en-US" w:eastAsia="zh-CN"/>
              </w:rPr>
              <w:t>废活性炭</w:t>
            </w:r>
            <w:r>
              <w:rPr>
                <w:rFonts w:hint="eastAsia" w:ascii="仿宋" w:hAnsi="仿宋" w:eastAsia="仿宋"/>
                <w:sz w:val="24"/>
                <w:szCs w:val="24"/>
                <w:lang w:val="en-US" w:eastAsia="zh-CN"/>
              </w:rPr>
              <w:t>采用密封袋装，暂存</w:t>
            </w:r>
            <w:r>
              <w:rPr>
                <w:rFonts w:hint="default" w:ascii="仿宋" w:hAnsi="仿宋" w:eastAsia="仿宋"/>
                <w:sz w:val="24"/>
                <w:szCs w:val="24"/>
                <w:lang w:val="en-US" w:eastAsia="zh-CN"/>
              </w:rPr>
              <w:t>于危险废物贮存点，</w:t>
            </w:r>
            <w:r>
              <w:rPr>
                <w:rFonts w:hint="eastAsia" w:ascii="仿宋" w:hAnsi="仿宋" w:eastAsia="仿宋"/>
                <w:sz w:val="24"/>
                <w:szCs w:val="24"/>
                <w:lang w:val="en-US" w:eastAsia="zh-CN"/>
              </w:rPr>
              <w:t>定期</w:t>
            </w:r>
            <w:r>
              <w:rPr>
                <w:rFonts w:hint="default" w:ascii="仿宋" w:hAnsi="仿宋" w:eastAsia="仿宋"/>
                <w:sz w:val="24"/>
                <w:szCs w:val="24"/>
                <w:lang w:val="en-US" w:eastAsia="zh-CN"/>
              </w:rPr>
              <w:t>委托有资质单位处理</w:t>
            </w:r>
            <w:r>
              <w:rPr>
                <w:rFonts w:hint="eastAsia" w:ascii="仿宋" w:hAnsi="仿宋" w:eastAsia="仿宋"/>
                <w:sz w:val="24"/>
                <w:szCs w:val="24"/>
                <w:lang w:val="en-US" w:eastAsia="zh-CN"/>
              </w:rPr>
              <w:t>；</w:t>
            </w:r>
            <w:r>
              <w:rPr>
                <w:rFonts w:hint="default" w:ascii="仿宋" w:hAnsi="仿宋" w:eastAsia="仿宋"/>
                <w:sz w:val="24"/>
                <w:szCs w:val="24"/>
                <w:lang w:val="en-US" w:eastAsia="zh-CN"/>
              </w:rPr>
              <w:t>生活垃圾定期由环卫部门清运；废布袋由更换厂家回收处置；布袋收集尘回用于生产，不外排；废</w:t>
            </w:r>
            <w:r>
              <w:rPr>
                <w:rFonts w:hint="eastAsia" w:ascii="仿宋" w:hAnsi="仿宋" w:eastAsia="仿宋"/>
                <w:sz w:val="24"/>
                <w:szCs w:val="24"/>
                <w:lang w:val="en-US" w:eastAsia="zh-CN"/>
              </w:rPr>
              <w:t>原料</w:t>
            </w:r>
            <w:r>
              <w:rPr>
                <w:rFonts w:hint="default" w:ascii="仿宋" w:hAnsi="仿宋" w:eastAsia="仿宋"/>
                <w:sz w:val="24"/>
                <w:szCs w:val="24"/>
                <w:lang w:val="en-US" w:eastAsia="zh-CN"/>
              </w:rPr>
              <w:t>包装袋及包装桶委托环卫部门清运</w:t>
            </w:r>
            <w:r>
              <w:rPr>
                <w:rFonts w:hint="eastAsia" w:ascii="仿宋" w:hAnsi="仿宋" w:eastAsia="仿宋"/>
                <w:sz w:val="24"/>
                <w:szCs w:val="24"/>
                <w:lang w:val="en-US" w:eastAsia="zh-CN"/>
              </w:rPr>
              <w:t>。</w:t>
            </w:r>
            <w:r>
              <w:rPr>
                <w:rFonts w:hint="eastAsia" w:ascii="仿宋" w:hAnsi="仿宋" w:eastAsia="仿宋" w:cs="Times New Roman"/>
                <w:sz w:val="24"/>
                <w:szCs w:val="24"/>
                <w:lang w:val="en-US" w:eastAsia="zh-CN"/>
              </w:rPr>
              <w:t xml:space="preserve">本项目一般固体废物处置执行《一般工业固体废物贮存和填埋污染控制标准》（GB18599-2020）；危险废物处置执行《危险废物贮存污染控制标准》（GB18597-2023））及其修改单要求。 </w:t>
            </w:r>
          </w:p>
          <w:p w14:paraId="1A3D4D20">
            <w:pPr>
              <w:pStyle w:val="2"/>
              <w:keepNext w:val="0"/>
              <w:keepLines w:val="0"/>
              <w:pageBreakBefore w:val="0"/>
              <w:widowControl w:val="0"/>
              <w:numPr>
                <w:ilvl w:val="0"/>
                <w:numId w:val="1"/>
              </w:numPr>
              <w:suppressLineNumbers w:val="0"/>
              <w:kinsoku/>
              <w:wordWrap/>
              <w:overflowPunct/>
              <w:topLinePunct w:val="0"/>
              <w:autoSpaceDE/>
              <w:autoSpaceDN/>
              <w:bidi w:val="0"/>
              <w:adjustRightInd w:val="0"/>
              <w:snapToGrid w:val="0"/>
              <w:spacing w:before="0" w:beforeAutospacing="0" w:after="0" w:afterAutospacing="0" w:line="480" w:lineRule="exact"/>
              <w:ind w:left="0" w:leftChars="0" w:right="0" w:firstLine="480" w:firstLineChars="200"/>
              <w:textAlignment w:val="auto"/>
              <w:rPr>
                <w:rFonts w:hint="eastAsia" w:ascii="仿宋" w:hAnsi="仿宋" w:eastAsia="仿宋" w:cs="Times New Roman"/>
                <w:kern w:val="2"/>
                <w:sz w:val="24"/>
                <w:szCs w:val="24"/>
                <w:lang w:val="en-US" w:eastAsia="zh-CN" w:bidi="ar-SA"/>
              </w:rPr>
            </w:pPr>
            <w:r>
              <w:rPr>
                <w:rFonts w:hint="eastAsia" w:ascii="仿宋" w:hAnsi="仿宋" w:eastAsia="仿宋" w:cs="Times New Roman"/>
                <w:kern w:val="2"/>
                <w:sz w:val="24"/>
                <w:szCs w:val="24"/>
                <w:lang w:val="en-US" w:eastAsia="zh-CN" w:bidi="ar-SA"/>
              </w:rPr>
              <w:t>环境风险防范措施：</w:t>
            </w:r>
          </w:p>
          <w:p w14:paraId="4AAB4019">
            <w:pPr>
              <w:pStyle w:val="2"/>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480" w:lineRule="exact"/>
              <w:ind w:right="0" w:rightChars="0" w:firstLine="480" w:firstLineChars="200"/>
              <w:textAlignment w:val="auto"/>
              <w:rPr>
                <w:rFonts w:hint="eastAsia" w:ascii="仿宋" w:hAnsi="仿宋" w:eastAsia="仿宋" w:cs="Times New Roman"/>
                <w:sz w:val="24"/>
                <w:szCs w:val="24"/>
                <w:lang w:val="en-US" w:eastAsia="zh-CN"/>
              </w:rPr>
            </w:pPr>
            <w:r>
              <w:rPr>
                <w:rFonts w:hint="default" w:ascii="仿宋" w:hAnsi="仿宋" w:eastAsia="仿宋" w:cs="Times New Roman"/>
                <w:sz w:val="24"/>
                <w:szCs w:val="24"/>
                <w:lang w:val="en-US" w:eastAsia="zh-CN"/>
              </w:rPr>
              <w:t>生产厂房（包括生产线、原料区、成品区）地面与四侧墙裙</w:t>
            </w:r>
            <w:r>
              <w:rPr>
                <w:rFonts w:hint="eastAsia" w:ascii="仿宋" w:hAnsi="仿宋" w:eastAsia="仿宋" w:cs="Times New Roman"/>
                <w:sz w:val="24"/>
                <w:szCs w:val="24"/>
                <w:lang w:val="en-US" w:eastAsia="zh-CN"/>
              </w:rPr>
              <w:t>已为</w:t>
            </w:r>
            <w:r>
              <w:rPr>
                <w:rFonts w:hint="default" w:ascii="仿宋" w:hAnsi="仿宋" w:eastAsia="仿宋" w:cs="Times New Roman"/>
                <w:sz w:val="24"/>
                <w:szCs w:val="24"/>
                <w:lang w:val="en-US" w:eastAsia="zh-CN"/>
              </w:rPr>
              <w:t>重点防渗</w:t>
            </w:r>
            <w:r>
              <w:rPr>
                <w:rFonts w:hint="eastAsia" w:ascii="仿宋" w:hAnsi="仿宋" w:eastAsia="仿宋" w:cs="Times New Roman"/>
                <w:sz w:val="24"/>
                <w:szCs w:val="24"/>
                <w:lang w:val="en-US" w:eastAsia="zh-CN"/>
              </w:rPr>
              <w:t>区，</w:t>
            </w:r>
            <w:r>
              <w:rPr>
                <w:rFonts w:hint="default" w:ascii="仿宋" w:hAnsi="仿宋" w:eastAsia="仿宋" w:cs="Times New Roman"/>
                <w:sz w:val="24"/>
                <w:szCs w:val="24"/>
                <w:lang w:val="en-US" w:eastAsia="zh-CN"/>
              </w:rPr>
              <w:t>本项目对危废暂存点地面与四侧墙裙进行重点防渗</w:t>
            </w:r>
            <w:r>
              <w:rPr>
                <w:rFonts w:hint="eastAsia" w:ascii="仿宋" w:hAnsi="仿宋" w:eastAsia="仿宋" w:cs="Times New Roman"/>
                <w:sz w:val="24"/>
                <w:szCs w:val="24"/>
                <w:lang w:val="en-US" w:eastAsia="zh-CN"/>
              </w:rPr>
              <w:t>，并设置导流沟、导流槽</w:t>
            </w:r>
            <w:r>
              <w:rPr>
                <w:rFonts w:hint="eastAsia" w:ascii="仿宋" w:hAnsi="仿宋" w:eastAsia="仿宋" w:cs="Times New Roman"/>
                <w:kern w:val="2"/>
                <w:sz w:val="24"/>
                <w:szCs w:val="24"/>
                <w:lang w:val="en-US" w:eastAsia="zh-CN" w:bidi="ar-SA"/>
              </w:rPr>
              <w:t>。及时修订污染</w:t>
            </w:r>
            <w:r>
              <w:rPr>
                <w:rFonts w:hint="eastAsia" w:ascii="仿宋" w:hAnsi="仿宋" w:eastAsia="仿宋" w:cs="Times New Roman"/>
                <w:sz w:val="24"/>
                <w:szCs w:val="24"/>
                <w:lang w:val="en-US" w:eastAsia="zh-CN"/>
              </w:rPr>
              <w:t>事故防范和处理应急预案，提高事故风险防范和污染控制能力。</w:t>
            </w:r>
          </w:p>
          <w:p w14:paraId="13605737">
            <w:pPr>
              <w:pStyle w:val="4"/>
              <w:keepNext w:val="0"/>
              <w:keepLines w:val="0"/>
              <w:pageBreakBefore w:val="0"/>
              <w:widowControl w:val="0"/>
              <w:numPr>
                <w:ilvl w:val="0"/>
                <w:numId w:val="0"/>
              </w:numPr>
              <w:tabs>
                <w:tab w:val="left" w:pos="0"/>
                <w:tab w:val="left" w:pos="1260"/>
              </w:tabs>
              <w:kinsoku/>
              <w:wordWrap/>
              <w:overflowPunct/>
              <w:topLinePunct w:val="0"/>
              <w:autoSpaceDE/>
              <w:autoSpaceDN/>
              <w:bidi w:val="0"/>
              <w:adjustRightInd/>
              <w:snapToGrid/>
              <w:spacing w:line="520" w:lineRule="exact"/>
              <w:ind w:firstLine="480" w:firstLineChars="200"/>
              <w:textAlignment w:val="auto"/>
              <w:rPr>
                <w:rFonts w:hint="eastAsia" w:ascii="仿宋" w:hAnsi="仿宋" w:eastAsia="仿宋" w:cs="Times New Roman"/>
                <w:kern w:val="2"/>
                <w:sz w:val="24"/>
                <w:szCs w:val="24"/>
                <w:lang w:val="en-US" w:eastAsia="zh-CN" w:bidi="ar-SA"/>
              </w:rPr>
            </w:pPr>
            <w:r>
              <w:rPr>
                <w:rFonts w:hint="eastAsia" w:ascii="仿宋" w:hAnsi="仿宋" w:eastAsia="仿宋" w:cs="Times New Roman"/>
                <w:kern w:val="2"/>
                <w:sz w:val="24"/>
                <w:szCs w:val="24"/>
                <w:lang w:val="en-US" w:eastAsia="zh-CN" w:bidi="ar-SA"/>
              </w:rPr>
              <w:t>6.落实各项监测计划。</w:t>
            </w:r>
          </w:p>
          <w:p w14:paraId="1B68F2FC">
            <w:pPr>
              <w:pStyle w:val="5"/>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420" w:firstLineChars="200"/>
              <w:textAlignment w:val="auto"/>
              <w:rPr>
                <w:rFonts w:hint="default"/>
                <w:lang w:val="en-US" w:eastAsia="zh-CN"/>
              </w:rPr>
            </w:pPr>
          </w:p>
        </w:tc>
      </w:tr>
      <w:tr w14:paraId="0872082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497" w:hRule="atLeast"/>
          <w:jc w:val="center"/>
        </w:trPr>
        <w:tc>
          <w:tcPr>
            <w:tcW w:w="8522" w:type="dxa"/>
            <w:gridSpan w:val="4"/>
            <w:tcBorders>
              <w:top w:val="single" w:color="auto" w:sz="4" w:space="0"/>
              <w:left w:val="single" w:color="auto" w:sz="8" w:space="0"/>
              <w:bottom w:val="single" w:color="auto" w:sz="8" w:space="0"/>
              <w:right w:val="single" w:color="auto" w:sz="8" w:space="0"/>
            </w:tcBorders>
            <w:vAlign w:val="center"/>
          </w:tcPr>
          <w:p w14:paraId="3699A1DC">
            <w:pPr>
              <w:pStyle w:val="2"/>
              <w:spacing w:line="360" w:lineRule="auto"/>
              <w:ind w:left="0" w:leftChars="0"/>
              <w:rPr>
                <w:rFonts w:hint="eastAsia" w:ascii="仿宋" w:hAnsi="仿宋" w:eastAsia="仿宋" w:cs="仿宋"/>
                <w:bCs/>
                <w:color w:val="000000"/>
                <w:kern w:val="0"/>
                <w:sz w:val="24"/>
                <w:szCs w:val="24"/>
                <w:lang w:val="en-US" w:eastAsia="zh-CN"/>
              </w:rPr>
            </w:pPr>
            <w:r>
              <w:rPr>
                <w:rFonts w:hint="eastAsia" w:ascii="仿宋" w:hAnsi="仿宋" w:eastAsia="仿宋" w:cs="仿宋"/>
                <w:bCs/>
                <w:color w:val="000000"/>
                <w:kern w:val="0"/>
                <w:sz w:val="24"/>
                <w:szCs w:val="24"/>
                <w:lang w:val="en-US" w:eastAsia="zh-CN"/>
              </w:rPr>
              <w:t>一、该项目环境影响报告表已经完成告知承诺制审批。对项目的环境管理要求按照环境保护法律法规的规定执行。</w:t>
            </w:r>
          </w:p>
          <w:p w14:paraId="3A7F4F40">
            <w:pPr>
              <w:pStyle w:val="2"/>
              <w:spacing w:line="360" w:lineRule="auto"/>
              <w:ind w:left="0" w:leftChars="0"/>
              <w:rPr>
                <w:rFonts w:hint="eastAsia" w:ascii="仿宋" w:hAnsi="仿宋" w:eastAsia="仿宋" w:cs="仿宋"/>
                <w:bCs/>
                <w:color w:val="000000"/>
                <w:kern w:val="0"/>
                <w:sz w:val="24"/>
                <w:szCs w:val="24"/>
                <w:lang w:val="en-US" w:eastAsia="zh-CN"/>
              </w:rPr>
            </w:pPr>
            <w:r>
              <w:rPr>
                <w:rFonts w:hint="eastAsia" w:ascii="仿宋" w:hAnsi="仿宋" w:eastAsia="仿宋" w:cs="仿宋"/>
                <w:bCs/>
                <w:color w:val="000000"/>
                <w:kern w:val="0"/>
                <w:sz w:val="24"/>
                <w:szCs w:val="24"/>
                <w:lang w:val="en-US" w:eastAsia="zh-CN"/>
              </w:rPr>
              <w:t>二、由吉林市生态环境保护综合行政执法支队龙潭大队负责按照《建设项目环境保护事中事后监督管理办法（试行）》（环发〔2015〕163号）的规定，进行本建设项目事中事后的环境监督管理工作。</w:t>
            </w:r>
          </w:p>
          <w:p w14:paraId="7024E967">
            <w:pPr>
              <w:pStyle w:val="2"/>
              <w:spacing w:line="360" w:lineRule="auto"/>
              <w:ind w:left="0" w:leftChars="0"/>
              <w:rPr>
                <w:rFonts w:hint="eastAsia" w:ascii="仿宋" w:hAnsi="仿宋" w:eastAsia="仿宋" w:cs="仿宋"/>
                <w:bCs/>
                <w:color w:val="000000"/>
                <w:kern w:val="0"/>
                <w:sz w:val="24"/>
                <w:szCs w:val="24"/>
                <w:lang w:val="en-US" w:eastAsia="zh-CN"/>
              </w:rPr>
            </w:pPr>
            <w:r>
              <w:rPr>
                <w:rFonts w:hint="eastAsia" w:ascii="仿宋" w:hAnsi="仿宋" w:eastAsia="仿宋" w:cs="仿宋"/>
                <w:bCs/>
                <w:color w:val="000000"/>
                <w:kern w:val="0"/>
                <w:sz w:val="24"/>
                <w:szCs w:val="24"/>
                <w:lang w:val="en-US" w:eastAsia="zh-CN"/>
              </w:rPr>
              <w:t>三、如项目不符合相关规划和产业政策要求，或存在《吉林省生态环境厅关于实施建设项目环境影响评价文件告知承诺制审批改革试点的通知》（吉环环评字〔2019〕18号）第五条第（六）款情形，本告知承诺制审批表无效。</w:t>
            </w:r>
          </w:p>
          <w:p w14:paraId="4DB280FA">
            <w:pPr>
              <w:pStyle w:val="2"/>
              <w:spacing w:line="360" w:lineRule="auto"/>
              <w:ind w:left="0" w:leftChars="0"/>
              <w:rPr>
                <w:rFonts w:hint="eastAsia" w:ascii="仿宋" w:hAnsi="仿宋" w:eastAsia="仿宋" w:cs="仿宋"/>
                <w:bCs/>
                <w:color w:val="000000"/>
                <w:kern w:val="0"/>
                <w:sz w:val="24"/>
                <w:szCs w:val="24"/>
                <w:lang w:val="zh-TW" w:eastAsia="zh-CN"/>
              </w:rPr>
            </w:pPr>
          </w:p>
          <w:p w14:paraId="3CD9A562">
            <w:pPr>
              <w:rPr>
                <w:rFonts w:hint="eastAsia" w:ascii="仿宋" w:hAnsi="仿宋" w:eastAsia="仿宋" w:cs="仿宋"/>
                <w:bCs/>
                <w:color w:val="000000"/>
                <w:kern w:val="0"/>
                <w:sz w:val="24"/>
                <w:szCs w:val="24"/>
                <w:lang w:val="zh-TW" w:eastAsia="zh-CN"/>
              </w:rPr>
            </w:pPr>
          </w:p>
          <w:p w14:paraId="415F1C5E">
            <w:pPr>
              <w:pStyle w:val="2"/>
              <w:rPr>
                <w:rFonts w:hint="eastAsia"/>
                <w:lang w:val="zh-TW" w:eastAsia="zh-CN"/>
              </w:rPr>
            </w:pPr>
          </w:p>
          <w:p w14:paraId="73A8BAC9">
            <w:pPr>
              <w:rPr>
                <w:rFonts w:hint="eastAsia" w:ascii="仿宋" w:hAnsi="仿宋" w:eastAsia="仿宋" w:cs="仿宋"/>
                <w:bCs/>
                <w:color w:val="000000"/>
                <w:kern w:val="0"/>
                <w:sz w:val="24"/>
                <w:szCs w:val="24"/>
                <w:lang w:val="zh-TW" w:eastAsia="zh-CN"/>
              </w:rPr>
            </w:pPr>
          </w:p>
          <w:p w14:paraId="2A93420B">
            <w:pPr>
              <w:pStyle w:val="2"/>
              <w:spacing w:line="360" w:lineRule="auto"/>
              <w:ind w:left="0" w:leftChars="0"/>
              <w:rPr>
                <w:rFonts w:hint="eastAsia" w:ascii="仿宋" w:hAnsi="仿宋" w:eastAsia="仿宋" w:cs="仿宋"/>
                <w:bCs/>
                <w:color w:val="000000"/>
                <w:kern w:val="0"/>
                <w:sz w:val="24"/>
                <w:szCs w:val="24"/>
                <w:lang w:val="zh-TW" w:eastAsia="zh-CN"/>
              </w:rPr>
            </w:pPr>
            <w:r>
              <w:rPr>
                <w:rFonts w:hint="eastAsia" w:ascii="仿宋" w:hAnsi="仿宋" w:eastAsia="仿宋" w:cs="仿宋"/>
                <w:bCs/>
                <w:color w:val="000000"/>
                <w:kern w:val="0"/>
                <w:sz w:val="24"/>
                <w:szCs w:val="24"/>
                <w:lang w:val="zh-TW" w:eastAsia="zh-CN"/>
              </w:rPr>
              <w:t>　　　　　　　　　　　　　　　　　　　吉林市生态环境局</w:t>
            </w:r>
          </w:p>
          <w:p w14:paraId="358EBE33">
            <w:pPr>
              <w:pStyle w:val="2"/>
              <w:spacing w:line="360" w:lineRule="auto"/>
              <w:ind w:left="0" w:leftChars="0"/>
              <w:rPr>
                <w:rFonts w:hint="eastAsia"/>
                <w:lang w:val="en-US" w:eastAsia="zh-CN"/>
              </w:rPr>
            </w:pPr>
            <w:r>
              <w:rPr>
                <w:rFonts w:hint="eastAsia" w:ascii="仿宋" w:hAnsi="仿宋" w:eastAsia="仿宋" w:cs="仿宋"/>
                <w:bCs/>
                <w:color w:val="000000"/>
                <w:kern w:val="0"/>
                <w:sz w:val="24"/>
                <w:szCs w:val="24"/>
                <w:lang w:val="en-US" w:eastAsia="zh-CN"/>
              </w:rPr>
              <w:t>　　　　　　　　　　　　　　　　　　　 2026年X月X日</w:t>
            </w:r>
          </w:p>
          <w:p w14:paraId="1032E161">
            <w:pPr>
              <w:adjustRightInd w:val="0"/>
              <w:snapToGrid w:val="0"/>
              <w:spacing w:after="156" w:afterLines="50" w:line="460" w:lineRule="exact"/>
              <w:rPr>
                <w:rFonts w:ascii="仿宋_GB2312" w:hAnsi="宋体" w:eastAsia="仿宋_GB2312" w:cs="仿宋_GB2312"/>
                <w:sz w:val="24"/>
                <w:szCs w:val="24"/>
              </w:rPr>
            </w:pPr>
          </w:p>
        </w:tc>
      </w:tr>
    </w:tbl>
    <w:p w14:paraId="7CB72422">
      <w:pPr>
        <w:spacing w:line="440" w:lineRule="exact"/>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5F"/>
    <w:family w:val="auto"/>
    <w:pitch w:val="default"/>
    <w:sig w:usb0="E0002EFF" w:usb1="C000785B" w:usb2="00000009" w:usb3="00000000" w:csb0="400001FF" w:csb1="FFFF0000"/>
  </w:font>
  <w:font w:name="宋体">
    <w:panose1 w:val="02010600030101010101"/>
    <w:charset w:val="0D"/>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5FFE610"/>
    <w:multiLevelType w:val="singleLevel"/>
    <w:tmpl w:val="55FFE610"/>
    <w:lvl w:ilvl="0" w:tentative="0">
      <w:start w:val="5"/>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2"/>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NzljMTIyMzMxMGUyZGRiNjRkMDExZjZjMjcxNWM0YmQifQ=="/>
  </w:docVars>
  <w:rsids>
    <w:rsidRoot w:val="00112C8F"/>
    <w:rsid w:val="00001DF9"/>
    <w:rsid w:val="0004006C"/>
    <w:rsid w:val="00063627"/>
    <w:rsid w:val="0006419C"/>
    <w:rsid w:val="000830C6"/>
    <w:rsid w:val="000855B6"/>
    <w:rsid w:val="00090F24"/>
    <w:rsid w:val="00090FEA"/>
    <w:rsid w:val="000C5A2C"/>
    <w:rsid w:val="000E6CEE"/>
    <w:rsid w:val="000F6B9F"/>
    <w:rsid w:val="001063B4"/>
    <w:rsid w:val="00112C8F"/>
    <w:rsid w:val="001501D8"/>
    <w:rsid w:val="00150A40"/>
    <w:rsid w:val="00173903"/>
    <w:rsid w:val="00176569"/>
    <w:rsid w:val="0018522B"/>
    <w:rsid w:val="0019387C"/>
    <w:rsid w:val="001A341F"/>
    <w:rsid w:val="001B367A"/>
    <w:rsid w:val="001D029C"/>
    <w:rsid w:val="001E76E2"/>
    <w:rsid w:val="001F2293"/>
    <w:rsid w:val="00204FA8"/>
    <w:rsid w:val="002469E6"/>
    <w:rsid w:val="00252989"/>
    <w:rsid w:val="00282C1F"/>
    <w:rsid w:val="002A2816"/>
    <w:rsid w:val="002A3C4E"/>
    <w:rsid w:val="002D0903"/>
    <w:rsid w:val="002E0AD3"/>
    <w:rsid w:val="002E2E46"/>
    <w:rsid w:val="002E31D6"/>
    <w:rsid w:val="002E6B5B"/>
    <w:rsid w:val="002F3D8F"/>
    <w:rsid w:val="002F5FFA"/>
    <w:rsid w:val="00301352"/>
    <w:rsid w:val="00304AAC"/>
    <w:rsid w:val="00305892"/>
    <w:rsid w:val="003079C5"/>
    <w:rsid w:val="00314264"/>
    <w:rsid w:val="0031577B"/>
    <w:rsid w:val="00317C09"/>
    <w:rsid w:val="00334153"/>
    <w:rsid w:val="00345FC1"/>
    <w:rsid w:val="00356F7A"/>
    <w:rsid w:val="0036586F"/>
    <w:rsid w:val="00387EB7"/>
    <w:rsid w:val="00391A7E"/>
    <w:rsid w:val="0039436D"/>
    <w:rsid w:val="0039609F"/>
    <w:rsid w:val="003A485C"/>
    <w:rsid w:val="003B079B"/>
    <w:rsid w:val="003B68E8"/>
    <w:rsid w:val="003B6973"/>
    <w:rsid w:val="003C5633"/>
    <w:rsid w:val="003D04F1"/>
    <w:rsid w:val="003E6498"/>
    <w:rsid w:val="003E7FF1"/>
    <w:rsid w:val="00406993"/>
    <w:rsid w:val="004516B9"/>
    <w:rsid w:val="004623AA"/>
    <w:rsid w:val="00465A9E"/>
    <w:rsid w:val="004670AC"/>
    <w:rsid w:val="0047081E"/>
    <w:rsid w:val="00476BD0"/>
    <w:rsid w:val="004D095E"/>
    <w:rsid w:val="004D30EB"/>
    <w:rsid w:val="004D3AF6"/>
    <w:rsid w:val="004D4D96"/>
    <w:rsid w:val="004F1058"/>
    <w:rsid w:val="00500B94"/>
    <w:rsid w:val="0052527F"/>
    <w:rsid w:val="0052537F"/>
    <w:rsid w:val="0054785F"/>
    <w:rsid w:val="00565C16"/>
    <w:rsid w:val="00571302"/>
    <w:rsid w:val="00586E08"/>
    <w:rsid w:val="00594E6B"/>
    <w:rsid w:val="005D06DB"/>
    <w:rsid w:val="005E2215"/>
    <w:rsid w:val="00601349"/>
    <w:rsid w:val="0062248A"/>
    <w:rsid w:val="00623300"/>
    <w:rsid w:val="006373F3"/>
    <w:rsid w:val="00640A33"/>
    <w:rsid w:val="0064146B"/>
    <w:rsid w:val="00667073"/>
    <w:rsid w:val="006758B1"/>
    <w:rsid w:val="00682404"/>
    <w:rsid w:val="006A1552"/>
    <w:rsid w:val="006C4D4E"/>
    <w:rsid w:val="006C6A57"/>
    <w:rsid w:val="006D0691"/>
    <w:rsid w:val="006D70F1"/>
    <w:rsid w:val="006E1AAA"/>
    <w:rsid w:val="006E7BA0"/>
    <w:rsid w:val="00706BE7"/>
    <w:rsid w:val="00723E5E"/>
    <w:rsid w:val="00756EBE"/>
    <w:rsid w:val="0075762E"/>
    <w:rsid w:val="00757F65"/>
    <w:rsid w:val="00771EB9"/>
    <w:rsid w:val="00773AB7"/>
    <w:rsid w:val="00787BC1"/>
    <w:rsid w:val="00795249"/>
    <w:rsid w:val="00797C69"/>
    <w:rsid w:val="007A7B4D"/>
    <w:rsid w:val="007B7A56"/>
    <w:rsid w:val="007E46A0"/>
    <w:rsid w:val="00805681"/>
    <w:rsid w:val="00820AF9"/>
    <w:rsid w:val="00851576"/>
    <w:rsid w:val="008636E6"/>
    <w:rsid w:val="008653B8"/>
    <w:rsid w:val="008A2586"/>
    <w:rsid w:val="008A4A94"/>
    <w:rsid w:val="008B3B1D"/>
    <w:rsid w:val="008D62A0"/>
    <w:rsid w:val="008D7F79"/>
    <w:rsid w:val="008F048F"/>
    <w:rsid w:val="008F38F0"/>
    <w:rsid w:val="009007E4"/>
    <w:rsid w:val="00953BA0"/>
    <w:rsid w:val="00956A9C"/>
    <w:rsid w:val="00974CF1"/>
    <w:rsid w:val="00981CE6"/>
    <w:rsid w:val="009928A5"/>
    <w:rsid w:val="00995951"/>
    <w:rsid w:val="009A3F4B"/>
    <w:rsid w:val="009C232B"/>
    <w:rsid w:val="009D119F"/>
    <w:rsid w:val="009D18B3"/>
    <w:rsid w:val="009D38B6"/>
    <w:rsid w:val="009F5802"/>
    <w:rsid w:val="00A14235"/>
    <w:rsid w:val="00A325FD"/>
    <w:rsid w:val="00A34F10"/>
    <w:rsid w:val="00A40A57"/>
    <w:rsid w:val="00A563B0"/>
    <w:rsid w:val="00A60C4E"/>
    <w:rsid w:val="00A64F11"/>
    <w:rsid w:val="00A77C03"/>
    <w:rsid w:val="00A82C2F"/>
    <w:rsid w:val="00AE5CAC"/>
    <w:rsid w:val="00AF5F72"/>
    <w:rsid w:val="00B266B7"/>
    <w:rsid w:val="00B31352"/>
    <w:rsid w:val="00B334AB"/>
    <w:rsid w:val="00B6619F"/>
    <w:rsid w:val="00B76A96"/>
    <w:rsid w:val="00B87E59"/>
    <w:rsid w:val="00BA69E5"/>
    <w:rsid w:val="00BB084E"/>
    <w:rsid w:val="00BB7565"/>
    <w:rsid w:val="00BD0C5D"/>
    <w:rsid w:val="00BE1927"/>
    <w:rsid w:val="00C0623A"/>
    <w:rsid w:val="00C15D88"/>
    <w:rsid w:val="00C2226A"/>
    <w:rsid w:val="00C27E45"/>
    <w:rsid w:val="00C46E47"/>
    <w:rsid w:val="00C52542"/>
    <w:rsid w:val="00C57326"/>
    <w:rsid w:val="00C76448"/>
    <w:rsid w:val="00C82A85"/>
    <w:rsid w:val="00CA3189"/>
    <w:rsid w:val="00CA621A"/>
    <w:rsid w:val="00CA6881"/>
    <w:rsid w:val="00CB6BDA"/>
    <w:rsid w:val="00CC178F"/>
    <w:rsid w:val="00CC1851"/>
    <w:rsid w:val="00CD47FD"/>
    <w:rsid w:val="00D1571A"/>
    <w:rsid w:val="00D16084"/>
    <w:rsid w:val="00D20515"/>
    <w:rsid w:val="00D23395"/>
    <w:rsid w:val="00D25A7C"/>
    <w:rsid w:val="00D32D26"/>
    <w:rsid w:val="00D3535B"/>
    <w:rsid w:val="00D365FB"/>
    <w:rsid w:val="00D422CF"/>
    <w:rsid w:val="00D71FAE"/>
    <w:rsid w:val="00D72EA7"/>
    <w:rsid w:val="00D86234"/>
    <w:rsid w:val="00D9013E"/>
    <w:rsid w:val="00DC67F0"/>
    <w:rsid w:val="00DC74FC"/>
    <w:rsid w:val="00E20DB2"/>
    <w:rsid w:val="00E216E0"/>
    <w:rsid w:val="00E24B0B"/>
    <w:rsid w:val="00E25D6A"/>
    <w:rsid w:val="00E26319"/>
    <w:rsid w:val="00E440C7"/>
    <w:rsid w:val="00E77D7E"/>
    <w:rsid w:val="00E82067"/>
    <w:rsid w:val="00EB4404"/>
    <w:rsid w:val="00EC3554"/>
    <w:rsid w:val="00ED0D7D"/>
    <w:rsid w:val="00EE3EF3"/>
    <w:rsid w:val="00F150DB"/>
    <w:rsid w:val="00F157A5"/>
    <w:rsid w:val="00F1585F"/>
    <w:rsid w:val="00F24E5D"/>
    <w:rsid w:val="00F36A9C"/>
    <w:rsid w:val="00F45FC6"/>
    <w:rsid w:val="00F52AA7"/>
    <w:rsid w:val="00F57E55"/>
    <w:rsid w:val="00F85D49"/>
    <w:rsid w:val="00F904D6"/>
    <w:rsid w:val="00FC4CD7"/>
    <w:rsid w:val="00FC5DFB"/>
    <w:rsid w:val="00FD1695"/>
    <w:rsid w:val="00FD7F0E"/>
    <w:rsid w:val="00FE5FEF"/>
    <w:rsid w:val="00FF26F3"/>
    <w:rsid w:val="00FF46FD"/>
    <w:rsid w:val="04C029E0"/>
    <w:rsid w:val="04DC1EF2"/>
    <w:rsid w:val="053B473F"/>
    <w:rsid w:val="05E52296"/>
    <w:rsid w:val="05EE186A"/>
    <w:rsid w:val="061A5470"/>
    <w:rsid w:val="067C181C"/>
    <w:rsid w:val="069C1ED5"/>
    <w:rsid w:val="092D150A"/>
    <w:rsid w:val="093D55F9"/>
    <w:rsid w:val="098C3C3A"/>
    <w:rsid w:val="09B209F0"/>
    <w:rsid w:val="0ABB1C24"/>
    <w:rsid w:val="0BBE2D2C"/>
    <w:rsid w:val="0C4946EB"/>
    <w:rsid w:val="0C50326D"/>
    <w:rsid w:val="0C645D51"/>
    <w:rsid w:val="0CED4CDD"/>
    <w:rsid w:val="0D1F0433"/>
    <w:rsid w:val="0D840443"/>
    <w:rsid w:val="0DFB60E9"/>
    <w:rsid w:val="0E272D67"/>
    <w:rsid w:val="0FAD15C7"/>
    <w:rsid w:val="10D57237"/>
    <w:rsid w:val="11867196"/>
    <w:rsid w:val="128A4406"/>
    <w:rsid w:val="12FF50B9"/>
    <w:rsid w:val="133B3428"/>
    <w:rsid w:val="140769B8"/>
    <w:rsid w:val="148E35B7"/>
    <w:rsid w:val="14BB5A30"/>
    <w:rsid w:val="1593088D"/>
    <w:rsid w:val="1637368C"/>
    <w:rsid w:val="16702A6B"/>
    <w:rsid w:val="16900BDF"/>
    <w:rsid w:val="1707342C"/>
    <w:rsid w:val="17233A58"/>
    <w:rsid w:val="17FB4D7D"/>
    <w:rsid w:val="19023E66"/>
    <w:rsid w:val="19E105F6"/>
    <w:rsid w:val="1A9812DD"/>
    <w:rsid w:val="1AA24CA5"/>
    <w:rsid w:val="1ADD2AD6"/>
    <w:rsid w:val="1AED3D58"/>
    <w:rsid w:val="1B033691"/>
    <w:rsid w:val="1B891AFF"/>
    <w:rsid w:val="1B8A1D96"/>
    <w:rsid w:val="1B8D2DF3"/>
    <w:rsid w:val="1C593783"/>
    <w:rsid w:val="1E33066D"/>
    <w:rsid w:val="1F4A5EE0"/>
    <w:rsid w:val="2012571E"/>
    <w:rsid w:val="2031129D"/>
    <w:rsid w:val="20CA68AC"/>
    <w:rsid w:val="21AC79DB"/>
    <w:rsid w:val="220258AD"/>
    <w:rsid w:val="228D3CFF"/>
    <w:rsid w:val="22A02920"/>
    <w:rsid w:val="22E27190"/>
    <w:rsid w:val="23D05D82"/>
    <w:rsid w:val="24AA3EE3"/>
    <w:rsid w:val="25091801"/>
    <w:rsid w:val="25DE244C"/>
    <w:rsid w:val="26526108"/>
    <w:rsid w:val="283E654F"/>
    <w:rsid w:val="286D6C1B"/>
    <w:rsid w:val="295750F7"/>
    <w:rsid w:val="29D420C7"/>
    <w:rsid w:val="2A141AF7"/>
    <w:rsid w:val="2AC1452B"/>
    <w:rsid w:val="2AF45369"/>
    <w:rsid w:val="2B4B1DD3"/>
    <w:rsid w:val="2B8466D5"/>
    <w:rsid w:val="2B85488A"/>
    <w:rsid w:val="2B874F53"/>
    <w:rsid w:val="2B907F24"/>
    <w:rsid w:val="2BC74EA2"/>
    <w:rsid w:val="2BCD7779"/>
    <w:rsid w:val="2BD66954"/>
    <w:rsid w:val="2CBA0563"/>
    <w:rsid w:val="2F81249E"/>
    <w:rsid w:val="2FF0678C"/>
    <w:rsid w:val="3000321C"/>
    <w:rsid w:val="306D7B74"/>
    <w:rsid w:val="3184338A"/>
    <w:rsid w:val="327F6416"/>
    <w:rsid w:val="33D20DA7"/>
    <w:rsid w:val="34097870"/>
    <w:rsid w:val="346C2A8B"/>
    <w:rsid w:val="355D6EC5"/>
    <w:rsid w:val="361E5BAA"/>
    <w:rsid w:val="36B61189"/>
    <w:rsid w:val="37E3104B"/>
    <w:rsid w:val="387252C0"/>
    <w:rsid w:val="39287B24"/>
    <w:rsid w:val="396C52DB"/>
    <w:rsid w:val="397270A9"/>
    <w:rsid w:val="3AC93A79"/>
    <w:rsid w:val="3B837541"/>
    <w:rsid w:val="3B9731ED"/>
    <w:rsid w:val="3C251A9E"/>
    <w:rsid w:val="3C7C73A2"/>
    <w:rsid w:val="3D335867"/>
    <w:rsid w:val="3E100FE9"/>
    <w:rsid w:val="3E224498"/>
    <w:rsid w:val="3E79520D"/>
    <w:rsid w:val="3EE00C55"/>
    <w:rsid w:val="3F2358EC"/>
    <w:rsid w:val="40C75BC4"/>
    <w:rsid w:val="419B03CF"/>
    <w:rsid w:val="42D00689"/>
    <w:rsid w:val="42FD0ED1"/>
    <w:rsid w:val="433A7B88"/>
    <w:rsid w:val="43627A99"/>
    <w:rsid w:val="45147A54"/>
    <w:rsid w:val="452277C9"/>
    <w:rsid w:val="456167D3"/>
    <w:rsid w:val="45652580"/>
    <w:rsid w:val="46175D49"/>
    <w:rsid w:val="46C6492B"/>
    <w:rsid w:val="47B94332"/>
    <w:rsid w:val="487241A5"/>
    <w:rsid w:val="4A7370AD"/>
    <w:rsid w:val="4A9F4604"/>
    <w:rsid w:val="4BB8688C"/>
    <w:rsid w:val="4CB63C9F"/>
    <w:rsid w:val="4CF20952"/>
    <w:rsid w:val="4F2024AF"/>
    <w:rsid w:val="4F273578"/>
    <w:rsid w:val="4F31625C"/>
    <w:rsid w:val="50E05F3B"/>
    <w:rsid w:val="517D4E03"/>
    <w:rsid w:val="552C764F"/>
    <w:rsid w:val="55774F00"/>
    <w:rsid w:val="5703704B"/>
    <w:rsid w:val="576A1843"/>
    <w:rsid w:val="583325A9"/>
    <w:rsid w:val="59393221"/>
    <w:rsid w:val="596402EC"/>
    <w:rsid w:val="59F91D02"/>
    <w:rsid w:val="5A57506B"/>
    <w:rsid w:val="5A8104B1"/>
    <w:rsid w:val="5C4E3F8D"/>
    <w:rsid w:val="5D4379D3"/>
    <w:rsid w:val="5D4656C7"/>
    <w:rsid w:val="5D850D8A"/>
    <w:rsid w:val="5EAF7415"/>
    <w:rsid w:val="5ED14F7F"/>
    <w:rsid w:val="5F7A5EEA"/>
    <w:rsid w:val="603E3613"/>
    <w:rsid w:val="60E570C2"/>
    <w:rsid w:val="619D10D3"/>
    <w:rsid w:val="61D330CD"/>
    <w:rsid w:val="62351C11"/>
    <w:rsid w:val="632A349F"/>
    <w:rsid w:val="63534CE1"/>
    <w:rsid w:val="63835F4D"/>
    <w:rsid w:val="646163CA"/>
    <w:rsid w:val="655757D4"/>
    <w:rsid w:val="65E26648"/>
    <w:rsid w:val="66010CEC"/>
    <w:rsid w:val="672C55DE"/>
    <w:rsid w:val="68247F41"/>
    <w:rsid w:val="68262FDF"/>
    <w:rsid w:val="6A70454E"/>
    <w:rsid w:val="6ABF6730"/>
    <w:rsid w:val="6ACD578F"/>
    <w:rsid w:val="6B4B5EBE"/>
    <w:rsid w:val="6BC8789F"/>
    <w:rsid w:val="6BE2228B"/>
    <w:rsid w:val="6CAD71C1"/>
    <w:rsid w:val="6CD27372"/>
    <w:rsid w:val="6D0B2A88"/>
    <w:rsid w:val="6D316241"/>
    <w:rsid w:val="6E55108E"/>
    <w:rsid w:val="6EF31975"/>
    <w:rsid w:val="70882D25"/>
    <w:rsid w:val="70C745CA"/>
    <w:rsid w:val="717405E0"/>
    <w:rsid w:val="72E434AB"/>
    <w:rsid w:val="73A227A8"/>
    <w:rsid w:val="7420046B"/>
    <w:rsid w:val="74304839"/>
    <w:rsid w:val="74641398"/>
    <w:rsid w:val="7529663A"/>
    <w:rsid w:val="76BA644F"/>
    <w:rsid w:val="78374484"/>
    <w:rsid w:val="789F40B6"/>
    <w:rsid w:val="7B047904"/>
    <w:rsid w:val="7B40355C"/>
    <w:rsid w:val="7C3D3992"/>
    <w:rsid w:val="7DB16355"/>
    <w:rsid w:val="7E4C05EC"/>
    <w:rsid w:val="7E822FF1"/>
    <w:rsid w:val="7ECD36F3"/>
    <w:rsid w:val="7F9B0B9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name="toc 1"/>
    <w:lsdException w:qFormat="1" w:unhideWhenUsed="0" w:uiPriority="0"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iPriority="99"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2">
    <w:name w:val="Default Paragraph Font"/>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toc 2"/>
    <w:basedOn w:val="1"/>
    <w:next w:val="1"/>
    <w:qFormat/>
    <w:uiPriority w:val="0"/>
    <w:pPr>
      <w:spacing w:line="324" w:lineRule="auto"/>
      <w:ind w:left="200" w:leftChars="200" w:firstLine="573"/>
    </w:pPr>
    <w:rPr>
      <w:sz w:val="28"/>
      <w:szCs w:val="24"/>
    </w:rPr>
  </w:style>
  <w:style w:type="paragraph" w:styleId="3">
    <w:name w:val="Normal Indent"/>
    <w:basedOn w:val="1"/>
    <w:link w:val="21"/>
    <w:qFormat/>
    <w:uiPriority w:val="0"/>
    <w:pPr>
      <w:tabs>
        <w:tab w:val="left" w:pos="280"/>
      </w:tabs>
      <w:spacing w:line="312" w:lineRule="auto"/>
      <w:ind w:firstLine="200" w:firstLineChars="200"/>
    </w:pPr>
    <w:rPr>
      <w:rFonts w:ascii="Times New Roman" w:hAnsi="Times New Roman" w:eastAsia="宋体" w:cs="Times New Roman"/>
      <w:sz w:val="28"/>
      <w:szCs w:val="20"/>
    </w:rPr>
  </w:style>
  <w:style w:type="paragraph" w:styleId="4">
    <w:name w:val="Body Text"/>
    <w:basedOn w:val="1"/>
    <w:next w:val="5"/>
    <w:link w:val="18"/>
    <w:qFormat/>
    <w:uiPriority w:val="0"/>
    <w:pPr>
      <w:spacing w:line="500" w:lineRule="exact"/>
    </w:pPr>
    <w:rPr>
      <w:rFonts w:ascii="Times New Roman" w:hAnsi="Times New Roman" w:eastAsia="宋体" w:cs="Times New Roman"/>
      <w:sz w:val="28"/>
      <w:szCs w:val="20"/>
    </w:rPr>
  </w:style>
  <w:style w:type="paragraph" w:styleId="5">
    <w:name w:val="toc 1"/>
    <w:basedOn w:val="1"/>
    <w:next w:val="1"/>
    <w:semiHidden/>
    <w:unhideWhenUsed/>
    <w:qFormat/>
    <w:uiPriority w:val="39"/>
  </w:style>
  <w:style w:type="paragraph" w:styleId="6">
    <w:name w:val="Body Text Indent 2"/>
    <w:basedOn w:val="1"/>
    <w:link w:val="20"/>
    <w:unhideWhenUsed/>
    <w:qFormat/>
    <w:uiPriority w:val="99"/>
    <w:pPr>
      <w:spacing w:after="120" w:line="480" w:lineRule="auto"/>
      <w:ind w:left="420" w:leftChars="200"/>
    </w:pPr>
  </w:style>
  <w:style w:type="paragraph" w:styleId="7">
    <w:name w:val="footer"/>
    <w:basedOn w:val="1"/>
    <w:link w:val="14"/>
    <w:semiHidden/>
    <w:unhideWhenUsed/>
    <w:qFormat/>
    <w:uiPriority w:val="99"/>
    <w:pPr>
      <w:tabs>
        <w:tab w:val="center" w:pos="4153"/>
        <w:tab w:val="right" w:pos="8306"/>
      </w:tabs>
      <w:snapToGrid w:val="0"/>
      <w:jc w:val="left"/>
    </w:pPr>
    <w:rPr>
      <w:sz w:val="18"/>
      <w:szCs w:val="18"/>
    </w:rPr>
  </w:style>
  <w:style w:type="paragraph" w:styleId="8">
    <w:name w:val="header"/>
    <w:basedOn w:val="1"/>
    <w:link w:val="13"/>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Normal (Web)"/>
    <w:basedOn w:val="1"/>
    <w:qFormat/>
    <w:uiPriority w:val="0"/>
    <w:pPr>
      <w:keepNext w:val="0"/>
      <w:keepLines w:val="0"/>
      <w:widowControl/>
      <w:suppressLineNumbers w:val="0"/>
      <w:spacing w:before="100" w:beforeAutospacing="1" w:after="100" w:afterAutospacing="1"/>
      <w:ind w:left="0" w:right="0"/>
      <w:jc w:val="left"/>
    </w:pPr>
    <w:rPr>
      <w:rFonts w:hint="eastAsia" w:ascii="宋体" w:hAnsi="宋体" w:eastAsia="宋体" w:cs="Times New Roman"/>
      <w:kern w:val="0"/>
      <w:sz w:val="24"/>
      <w:szCs w:val="20"/>
      <w:lang w:val="en-US" w:eastAsia="zh-CN" w:bidi="ar"/>
    </w:rPr>
  </w:style>
  <w:style w:type="table" w:styleId="11">
    <w:name w:val="Table Grid"/>
    <w:basedOn w:val="10"/>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3">
    <w:name w:val="页眉 字符"/>
    <w:basedOn w:val="12"/>
    <w:link w:val="8"/>
    <w:semiHidden/>
    <w:qFormat/>
    <w:uiPriority w:val="99"/>
    <w:rPr>
      <w:sz w:val="18"/>
      <w:szCs w:val="18"/>
    </w:rPr>
  </w:style>
  <w:style w:type="character" w:customStyle="1" w:styleId="14">
    <w:name w:val="页脚 字符"/>
    <w:basedOn w:val="12"/>
    <w:link w:val="7"/>
    <w:semiHidden/>
    <w:qFormat/>
    <w:uiPriority w:val="99"/>
    <w:rPr>
      <w:sz w:val="18"/>
      <w:szCs w:val="18"/>
    </w:rPr>
  </w:style>
  <w:style w:type="paragraph" w:styleId="15">
    <w:name w:val="List Paragraph"/>
    <w:basedOn w:val="1"/>
    <w:unhideWhenUsed/>
    <w:qFormat/>
    <w:uiPriority w:val="99"/>
    <w:pPr>
      <w:ind w:firstLine="420" w:firstLineChars="200"/>
    </w:pPr>
  </w:style>
  <w:style w:type="character" w:customStyle="1" w:styleId="16">
    <w:name w:val="font51"/>
    <w:qFormat/>
    <w:uiPriority w:val="0"/>
    <w:rPr>
      <w:rFonts w:hint="eastAsia" w:ascii="宋体" w:hAnsi="宋体" w:eastAsia="宋体" w:cs="宋体"/>
      <w:color w:val="000000"/>
      <w:sz w:val="21"/>
      <w:szCs w:val="21"/>
      <w:u w:val="none"/>
    </w:rPr>
  </w:style>
  <w:style w:type="paragraph" w:customStyle="1" w:styleId="17">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character" w:customStyle="1" w:styleId="18">
    <w:name w:val="正文文本 字符"/>
    <w:link w:val="4"/>
    <w:qFormat/>
    <w:uiPriority w:val="0"/>
    <w:rPr>
      <w:kern w:val="2"/>
      <w:sz w:val="28"/>
    </w:rPr>
  </w:style>
  <w:style w:type="character" w:customStyle="1" w:styleId="19">
    <w:name w:val="正文文本 Char1"/>
    <w:basedOn w:val="12"/>
    <w:semiHidden/>
    <w:qFormat/>
    <w:uiPriority w:val="99"/>
    <w:rPr>
      <w:rFonts w:asciiTheme="minorHAnsi" w:hAnsiTheme="minorHAnsi" w:eastAsiaTheme="minorEastAsia" w:cstheme="minorBidi"/>
      <w:kern w:val="2"/>
      <w:sz w:val="21"/>
      <w:szCs w:val="22"/>
    </w:rPr>
  </w:style>
  <w:style w:type="character" w:customStyle="1" w:styleId="20">
    <w:name w:val="正文文本缩进 2 字符"/>
    <w:basedOn w:val="12"/>
    <w:link w:val="6"/>
    <w:qFormat/>
    <w:uiPriority w:val="99"/>
    <w:rPr>
      <w:rFonts w:asciiTheme="minorHAnsi" w:hAnsiTheme="minorHAnsi" w:eastAsiaTheme="minorEastAsia" w:cstheme="minorBidi"/>
      <w:kern w:val="2"/>
      <w:sz w:val="21"/>
      <w:szCs w:val="22"/>
    </w:rPr>
  </w:style>
  <w:style w:type="character" w:customStyle="1" w:styleId="21">
    <w:name w:val="正文缩进 字符"/>
    <w:link w:val="3"/>
    <w:qFormat/>
    <w:uiPriority w:val="0"/>
    <w:rPr>
      <w:kern w:val="2"/>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自定义 1">
      <a:dk1>
        <a:sysClr val="windowText" lastClr="000000"/>
      </a:dk1>
      <a:lt1>
        <a:srgbClr val="C3D69B"/>
      </a:lt1>
      <a:dk2>
        <a:srgbClr val="1F497D"/>
      </a:dk2>
      <a:lt2>
        <a:srgbClr val="92D050"/>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ontractReview xmlns="http://schemas.wps.cn/vas-ai-hub/contract-review">
  <reviewItems/>
  <config/>
</contractReview>
</file>

<file path=customXml/itemProps1.xml><?xml version="1.0" encoding="utf-8"?>
<ds:datastoreItem xmlns:ds="http://schemas.openxmlformats.org/officeDocument/2006/customXml" ds:itemID="{8F49336E-0E0C-4B90-8DA0-5E27F5998060}">
  <ds:schemaRefs/>
</ds:datastoreItem>
</file>

<file path=customXml/itemProps2.xml><?xml version="1.0" encoding="utf-8"?>
<ds:datastoreItem xmlns:ds="http://schemas.openxmlformats.org/officeDocument/2006/customXml" ds:itemID="{9b0c485a-5a7e-42af-ab40-7c84d17653d5}">
  <ds:schemaRefs/>
</ds:datastoreItem>
</file>

<file path=docProps/app.xml><?xml version="1.0" encoding="utf-8"?>
<Properties xmlns="http://schemas.openxmlformats.org/officeDocument/2006/extended-properties" xmlns:vt="http://schemas.openxmlformats.org/officeDocument/2006/docPropsVTypes">
  <Template>Normal</Template>
  <Pages>3</Pages>
  <Words>1515</Words>
  <Characters>1662</Characters>
  <Lines>14</Lines>
  <Paragraphs>4</Paragraphs>
  <TotalTime>6</TotalTime>
  <ScaleCrop>false</ScaleCrop>
  <LinksUpToDate>false</LinksUpToDate>
  <CharactersWithSpaces>1703</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2020-02-03T01:41:00Z</dcterms:created>
  <dc:creator>dell</dc:creator>
  <cp:lastModifiedBy>W琪</cp:lastModifiedBy>
  <cp:lastPrinted>2026-01-04T02:47:00Z</cp:lastPrinted>
  <dcterms:modified xsi:type="dcterms:W3CDTF">2026-02-05T05:49:00Z</dcterms:modified>
  <cp:revision>50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0014B919C4464513A84EEB467160E191</vt:lpwstr>
  </property>
  <property fmtid="{D5CDD505-2E9C-101B-9397-08002B2CF9AE}" pid="4" name="KSOTemplateDocerSaveRecord">
    <vt:lpwstr>eyJoZGlkIjoiMDc5MzViOWI5ODMxNmU1MjFmZjY5NjVlZTE5M2Q2YjUiLCJ1c2VySWQiOiIzNDEzNjc4NTYifQ==</vt:lpwstr>
  </property>
</Properties>
</file>